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8A59EE" w:rsidRDefault="00AC5857" w:rsidP="00D44968">
            <w:pPr>
              <w:suppressLineNumbers/>
              <w:jc w:val="both"/>
              <w:rPr>
                <w:rFonts w:ascii="Arial" w:hAnsi="Arial"/>
                <w:b/>
                <w:bCs/>
                <w:sz w:val="26"/>
                <w:szCs w:val="26"/>
                <w:rtl/>
              </w:rPr>
            </w:pPr>
            <w:r>
              <w:rPr>
                <w:rFonts w:ascii="Arial" w:hAnsi="Arial" w:hint="cs"/>
                <w:b/>
                <w:bCs/>
                <w:sz w:val="26"/>
                <w:szCs w:val="26"/>
                <w:rtl/>
              </w:rPr>
              <w:t>ל</w:t>
            </w:r>
            <w:r w:rsidR="0094424E" w:rsidRPr="008A59EE">
              <w:rPr>
                <w:rFonts w:ascii="Arial" w:hAnsi="Arial"/>
                <w:b/>
                <w:bCs/>
                <w:sz w:val="26"/>
                <w:szCs w:val="26"/>
                <w:rtl/>
              </w:rPr>
              <w:t xml:space="preserve">פני </w:t>
            </w:r>
          </w:p>
        </w:tc>
        <w:tc>
          <w:tcPr>
            <w:tcW w:w="8077" w:type="dxa"/>
            <w:gridSpan w:val="2"/>
          </w:tcPr>
          <w:p w:rsidR="0094424E" w:rsidRPr="008A59EE" w:rsidRDefault="000529D2" w:rsidP="00E9269D">
            <w:pPr>
              <w:suppressLineNumbers/>
              <w:rPr>
                <w:rFonts w:ascii="Arial" w:hAnsi="Arial"/>
                <w:b/>
                <w:bCs/>
                <w:sz w:val="26"/>
                <w:szCs w:val="26"/>
                <w:rtl/>
              </w:rPr>
            </w:pPr>
            <w:r w:rsidRPr="008A59EE">
              <w:rPr>
                <w:rFonts w:ascii="Arial" w:hAnsi="Arial" w:hint="cs"/>
                <w:b/>
                <w:bCs/>
                <w:sz w:val="26"/>
                <w:szCs w:val="26"/>
                <w:rtl/>
              </w:rPr>
              <w:t>כבוד</w:t>
            </w:r>
            <w:r w:rsidR="0094424E" w:rsidRPr="008A59EE">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8A59EE">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יחזקאל קינר</w:t>
                </w:r>
              </w:sdtContent>
            </w:sdt>
          </w:p>
          <w:p w:rsidR="00007DE0" w:rsidRPr="008A59EE" w:rsidRDefault="00007DE0" w:rsidP="00007DE0">
            <w:pPr>
              <w:suppressLineNumbers/>
              <w:rPr>
                <w:sz w:val="26"/>
                <w:szCs w:val="26"/>
              </w:rPr>
            </w:pPr>
          </w:p>
        </w:tc>
      </w:tr>
      <w:tr w:rsidR="0094424E" w:rsidTr="00465D36">
        <w:trPr>
          <w:jc w:val="center"/>
        </w:trPr>
        <w:tc>
          <w:tcPr>
            <w:tcW w:w="3249" w:type="dxa"/>
            <w:gridSpan w:val="2"/>
          </w:tcPr>
          <w:p w:rsidR="00FA7FD0" w:rsidRDefault="00FA7FD0" w:rsidP="00D44968">
            <w:pPr>
              <w:suppressLineNumbers/>
              <w:rPr>
                <w:rtl/>
              </w:rPr>
            </w:pPr>
          </w:p>
          <w:sdt>
            <w:sdtPr>
              <w:rPr>
                <w:b/>
                <w:bCs/>
                <w:sz w:val="26"/>
                <w:szCs w:val="26"/>
                <w:rtl/>
              </w:rPr>
              <w:alias w:val="1180"/>
              <w:tag w:val="1180"/>
              <w:id w:val="637458750"/>
              <w:text w:multiLine="1"/>
            </w:sdtPr>
            <w:sdtEndPr/>
            <w:sdtContent>
              <w:p w:rsidR="00E927B1" w:rsidRDefault="006861A6" w:rsidP="006861A6">
                <w:pPr>
                  <w:suppressLineNumbers/>
                  <w:rPr>
                    <w:rFonts w:ascii="Arial" w:hAnsi="Arial"/>
                    <w:b/>
                    <w:bCs/>
                    <w:noProof w:val="0"/>
                    <w:sz w:val="26"/>
                    <w:szCs w:val="26"/>
                    <w:rtl/>
                  </w:rPr>
                </w:pPr>
                <w:r w:rsidRPr="006861A6">
                  <w:rPr>
                    <w:rFonts w:hint="cs"/>
                    <w:b/>
                    <w:bCs/>
                    <w:sz w:val="26"/>
                    <w:szCs w:val="26"/>
                    <w:rtl/>
                  </w:rPr>
                  <w:t>מבקשת</w:t>
                </w:r>
              </w:p>
            </w:sdtContent>
          </w:sdt>
        </w:tc>
        <w:tc>
          <w:tcPr>
            <w:tcW w:w="5571" w:type="dxa"/>
          </w:tcPr>
          <w:p w:rsidR="00FA7FD0" w:rsidRDefault="00FA7FD0" w:rsidP="00D44968">
            <w:pPr>
              <w:suppressLineNumbers/>
              <w:rPr>
                <w:rtl/>
              </w:rPr>
            </w:pPr>
          </w:p>
          <w:p w:rsidR="0094424E" w:rsidRDefault="00A832F0" w:rsidP="004E607F">
            <w:pPr>
              <w:suppressLineNumbers/>
              <w:rPr>
                <w:b/>
                <w:bCs/>
                <w:noProof w:val="0"/>
                <w:sz w:val="26"/>
                <w:szCs w:val="26"/>
              </w:rPr>
            </w:pPr>
            <w:sdt>
              <w:sdtPr>
                <w:rPr>
                  <w:rFonts w:ascii="Arial" w:hAnsi="Arial"/>
                  <w:b/>
                  <w:bCs/>
                  <w:noProof w:val="0"/>
                  <w:sz w:val="26"/>
                  <w:szCs w:val="26"/>
                  <w:rtl/>
                </w:rPr>
                <w:alias w:val="3151"/>
                <w:tag w:val="3151"/>
                <w:id w:val="1166218717"/>
                <w:placeholder>
                  <w:docPart w:val="1C8A38705F7143EA87FF3DEB2C34E7E5"/>
                </w:placeholder>
                <w:text w:multiLine="1"/>
              </w:sdtPr>
              <w:sdtEndPr/>
              <w:sdtContent>
                <w:r w:rsidR="00E765F7">
                  <w:rPr>
                    <w:rFonts w:ascii="Arial" w:hAnsi="Arial"/>
                    <w:b/>
                    <w:bCs/>
                    <w:noProof w:val="0"/>
                    <w:sz w:val="26"/>
                    <w:szCs w:val="26"/>
                    <w:rtl/>
                  </w:rPr>
                  <w:t>פלונית</w:t>
                </w:r>
                <w:r w:rsidR="006861A6">
                  <w:rPr>
                    <w:rFonts w:ascii="Arial" w:hAnsi="Arial"/>
                    <w:b/>
                    <w:bCs/>
                    <w:noProof w:val="0"/>
                    <w:sz w:val="26"/>
                    <w:szCs w:val="26"/>
                    <w:rtl/>
                  </w:rPr>
                  <w:br/>
                </w:r>
                <w:r w:rsidR="006861A6">
                  <w:rPr>
                    <w:rFonts w:ascii="Arial" w:hAnsi="Arial" w:hint="cs"/>
                    <w:b/>
                    <w:bCs/>
                    <w:noProof w:val="0"/>
                    <w:sz w:val="26"/>
                    <w:szCs w:val="26"/>
                    <w:rtl/>
                  </w:rPr>
                  <w:t xml:space="preserve">ע"י ב"כ עו"ד דוד </w:t>
                </w:r>
                <w:proofErr w:type="spellStart"/>
                <w:r w:rsidR="006861A6">
                  <w:rPr>
                    <w:rFonts w:ascii="Arial" w:hAnsi="Arial" w:hint="cs"/>
                    <w:b/>
                    <w:bCs/>
                    <w:noProof w:val="0"/>
                    <w:sz w:val="26"/>
                    <w:szCs w:val="26"/>
                    <w:rtl/>
                  </w:rPr>
                  <w:t>שוורצבאום</w:t>
                </w:r>
                <w:proofErr w:type="spellEnd"/>
              </w:sdtContent>
            </w:sdt>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A832F0" w:rsidP="000B74E6">
            <w:pPr>
              <w:suppressLineNumbers/>
              <w:rPr>
                <w:rFonts w:ascii="Arial" w:hAnsi="Arial"/>
                <w:b/>
                <w:bCs/>
                <w:noProof w:val="0"/>
                <w:sz w:val="26"/>
                <w:szCs w:val="26"/>
              </w:rPr>
            </w:pPr>
            <w:sdt>
              <w:sdtPr>
                <w:rPr>
                  <w:b/>
                  <w:bCs/>
                  <w:sz w:val="26"/>
                  <w:szCs w:val="26"/>
                  <w:rtl/>
                </w:rPr>
                <w:alias w:val="1184"/>
                <w:tag w:val="1184"/>
                <w:id w:val="-340621022"/>
                <w:text w:multiLine="1"/>
              </w:sdtPr>
              <w:sdtEndPr/>
              <w:sdtContent>
                <w:r w:rsidR="006861A6" w:rsidRPr="006861A6">
                  <w:rPr>
                    <w:rFonts w:hint="cs"/>
                    <w:b/>
                    <w:bCs/>
                    <w:sz w:val="26"/>
                    <w:szCs w:val="26"/>
                    <w:rtl/>
                  </w:rPr>
                  <w:t>משיב</w:t>
                </w:r>
                <w:r w:rsidR="006861A6">
                  <w:rPr>
                    <w:b/>
                    <w:bCs/>
                    <w:sz w:val="26"/>
                    <w:szCs w:val="26"/>
                    <w:rtl/>
                  </w:rPr>
                  <w:br/>
                </w:r>
                <w:r w:rsidR="006861A6">
                  <w:rPr>
                    <w:b/>
                    <w:bCs/>
                    <w:sz w:val="26"/>
                    <w:szCs w:val="26"/>
                    <w:rtl/>
                  </w:rPr>
                  <w:br/>
                </w:r>
                <w:r w:rsidR="006861A6">
                  <w:rPr>
                    <w:b/>
                    <w:bCs/>
                    <w:sz w:val="26"/>
                    <w:szCs w:val="26"/>
                    <w:rtl/>
                  </w:rPr>
                  <w:br/>
                </w:r>
                <w:r w:rsidR="000B74E6">
                  <w:rPr>
                    <w:b/>
                    <w:bCs/>
                    <w:sz w:val="26"/>
                    <w:szCs w:val="26"/>
                    <w:rtl/>
                  </w:rPr>
                  <w:br/>
                </w:r>
                <w:r w:rsidR="006861A6">
                  <w:rPr>
                    <w:rFonts w:hint="cs"/>
                    <w:b/>
                    <w:bCs/>
                    <w:sz w:val="26"/>
                    <w:szCs w:val="26"/>
                    <w:rtl/>
                  </w:rPr>
                  <w:t xml:space="preserve">מתייצב </w:t>
                </w:r>
                <w:r w:rsidR="000B74E6">
                  <w:rPr>
                    <w:rFonts w:hint="cs"/>
                    <w:b/>
                    <w:bCs/>
                    <w:sz w:val="26"/>
                    <w:szCs w:val="26"/>
                    <w:rtl/>
                  </w:rPr>
                  <w:t>ל</w:t>
                </w:r>
                <w:r w:rsidR="006861A6">
                  <w:rPr>
                    <w:rFonts w:hint="cs"/>
                    <w:b/>
                    <w:bCs/>
                    <w:sz w:val="26"/>
                    <w:szCs w:val="26"/>
                    <w:rtl/>
                  </w:rPr>
                  <w:t>הליך</w:t>
                </w:r>
              </w:sdtContent>
            </w:sdt>
          </w:p>
        </w:tc>
        <w:tc>
          <w:tcPr>
            <w:tcW w:w="5571" w:type="dxa"/>
          </w:tcPr>
          <w:p w:rsidR="00CF6BB7" w:rsidRPr="00CD516B" w:rsidRDefault="00A832F0" w:rsidP="006861A6">
            <w:pPr>
              <w:suppressLineNumbers/>
              <w:rPr>
                <w:rFonts w:ascii="Arial" w:hAnsi="Arial"/>
                <w:b/>
                <w:bCs/>
                <w:noProof w:val="0"/>
                <w:sz w:val="26"/>
                <w:szCs w:val="26"/>
                <w:rtl/>
              </w:rPr>
            </w:pPr>
            <w:sdt>
              <w:sdtPr>
                <w:rPr>
                  <w:rFonts w:ascii="Arial" w:hAnsi="Arial"/>
                  <w:b/>
                  <w:bCs/>
                  <w:noProof w:val="0"/>
                  <w:sz w:val="26"/>
                  <w:szCs w:val="26"/>
                  <w:rtl/>
                </w:rPr>
                <w:alias w:val="3152"/>
                <w:tag w:val="3152"/>
                <w:id w:val="-1346628691"/>
                <w:placeholder>
                  <w:docPart w:val="4DC45A2FD697422FAA3CD896A84FA7B4"/>
                </w:placeholder>
                <w:text w:multiLine="1"/>
              </w:sdtPr>
              <w:sdtEndPr/>
              <w:sdtContent>
                <w:r w:rsidR="00E765F7">
                  <w:rPr>
                    <w:rFonts w:ascii="Arial" w:hAnsi="Arial"/>
                    <w:b/>
                    <w:bCs/>
                    <w:noProof w:val="0"/>
                    <w:sz w:val="26"/>
                    <w:szCs w:val="26"/>
                    <w:rtl/>
                  </w:rPr>
                  <w:t>המוסד לביטוח לאומי</w:t>
                </w:r>
                <w:r w:rsidR="006861A6">
                  <w:rPr>
                    <w:rFonts w:ascii="Arial" w:hAnsi="Arial"/>
                    <w:b/>
                    <w:bCs/>
                    <w:noProof w:val="0"/>
                    <w:sz w:val="26"/>
                    <w:szCs w:val="26"/>
                    <w:rtl/>
                  </w:rPr>
                  <w:br/>
                </w:r>
                <w:r w:rsidR="006861A6">
                  <w:rPr>
                    <w:rFonts w:ascii="Arial" w:hAnsi="Arial" w:hint="cs"/>
                    <w:b/>
                    <w:bCs/>
                    <w:noProof w:val="0"/>
                    <w:sz w:val="26"/>
                    <w:szCs w:val="26"/>
                    <w:rtl/>
                  </w:rPr>
                  <w:t>ע"י ב"כ עוה"ד כפיר אמון ותה</w:t>
                </w:r>
                <w:r w:rsidR="0003331E">
                  <w:rPr>
                    <w:rFonts w:ascii="Arial" w:hAnsi="Arial" w:hint="cs"/>
                    <w:b/>
                    <w:bCs/>
                    <w:noProof w:val="0"/>
                    <w:sz w:val="26"/>
                    <w:szCs w:val="26"/>
                    <w:rtl/>
                  </w:rPr>
                  <w:t>י</w:t>
                </w:r>
                <w:r w:rsidR="006861A6">
                  <w:rPr>
                    <w:rFonts w:ascii="Arial" w:hAnsi="Arial" w:hint="cs"/>
                    <w:b/>
                    <w:bCs/>
                    <w:noProof w:val="0"/>
                    <w:sz w:val="26"/>
                    <w:szCs w:val="26"/>
                    <w:rtl/>
                  </w:rPr>
                  <w:t>לה כזרי</w:t>
                </w:r>
                <w:r w:rsidR="006861A6">
                  <w:rPr>
                    <w:rFonts w:ascii="Arial" w:hAnsi="Arial"/>
                    <w:b/>
                    <w:bCs/>
                    <w:noProof w:val="0"/>
                    <w:sz w:val="26"/>
                    <w:szCs w:val="26"/>
                    <w:rtl/>
                  </w:rPr>
                  <w:br/>
                </w:r>
              </w:sdtContent>
            </w:sdt>
          </w:p>
          <w:p w:rsidR="00CF6BB7" w:rsidRPr="00CD516B" w:rsidRDefault="00A832F0" w:rsidP="000B74E6">
            <w:pPr>
              <w:suppressLineNumbers/>
              <w:rPr>
                <w:rFonts w:ascii="Arial" w:hAnsi="Arial"/>
                <w:b/>
                <w:bCs/>
                <w:noProof w:val="0"/>
                <w:sz w:val="26"/>
                <w:szCs w:val="26"/>
                <w:rtl/>
              </w:rPr>
            </w:pPr>
            <w:sdt>
              <w:sdtPr>
                <w:rPr>
                  <w:rFonts w:ascii="Arial" w:hAnsi="Arial"/>
                  <w:b/>
                  <w:bCs/>
                  <w:noProof w:val="0"/>
                  <w:sz w:val="26"/>
                  <w:szCs w:val="26"/>
                  <w:rtl/>
                </w:rPr>
                <w:alias w:val="3152"/>
                <w:tag w:val="3152"/>
                <w:id w:val="-373466484"/>
                <w:placeholder>
                  <w:docPart w:val="4DC45A2FD697422FAA3CD896A84FA7B4"/>
                </w:placeholder>
                <w:text w:multiLine="1"/>
              </w:sdtPr>
              <w:sdtEndPr/>
              <w:sdtContent>
                <w:r w:rsidR="006861A6">
                  <w:rPr>
                    <w:rFonts w:ascii="Arial" w:hAnsi="Arial"/>
                    <w:b/>
                    <w:bCs/>
                    <w:noProof w:val="0"/>
                    <w:sz w:val="26"/>
                    <w:szCs w:val="26"/>
                    <w:rtl/>
                  </w:rPr>
                  <w:br/>
                </w:r>
                <w:r w:rsidR="00E765F7">
                  <w:rPr>
                    <w:rFonts w:ascii="Arial" w:hAnsi="Arial"/>
                    <w:b/>
                    <w:bCs/>
                    <w:noProof w:val="0"/>
                    <w:sz w:val="26"/>
                    <w:szCs w:val="26"/>
                    <w:rtl/>
                  </w:rPr>
                  <w:t>היועץ המשפטי לממשלה</w:t>
                </w:r>
                <w:r w:rsidR="006861A6">
                  <w:rPr>
                    <w:rFonts w:ascii="Arial" w:hAnsi="Arial"/>
                    <w:b/>
                    <w:bCs/>
                    <w:noProof w:val="0"/>
                    <w:sz w:val="26"/>
                    <w:szCs w:val="26"/>
                    <w:rtl/>
                  </w:rPr>
                  <w:br/>
                  <w:t>ע"י ב"כ עו"ד הדר מורג (פרקליטות מחוז מרכז – אזרחי)</w:t>
                </w:r>
              </w:sdtContent>
            </w:sdt>
          </w:p>
        </w:tc>
      </w:tr>
      <w:tr w:rsidR="004C17EE" w:rsidTr="00D620FD">
        <w:trPr>
          <w:jc w:val="center"/>
        </w:trPr>
        <w:tc>
          <w:tcPr>
            <w:tcW w:w="8820" w:type="dxa"/>
            <w:gridSpan w:val="3"/>
          </w:tcPr>
          <w:p w:rsidR="00E927B1" w:rsidRDefault="00E927B1">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rsidP="000B74E6">
            <w:pPr>
              <w:bidi w:val="0"/>
              <w:spacing w:line="300" w:lineRule="exact"/>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0B74E6" w:rsidRPr="0036252F" w:rsidRDefault="000B74E6" w:rsidP="000B74E6">
            <w:pPr>
              <w:bidi w:val="0"/>
              <w:spacing w:line="300" w:lineRule="exact"/>
              <w:jc w:val="center"/>
              <w:rPr>
                <w:rFonts w:ascii="David" w:hAnsi="David"/>
                <w:b/>
                <w:bCs/>
                <w:noProof w:val="0"/>
                <w:rtl/>
              </w:rPr>
            </w:pPr>
            <w:r w:rsidRPr="0036252F">
              <w:rPr>
                <w:rFonts w:ascii="David" w:hAnsi="David" w:hint="cs"/>
                <w:b/>
                <w:bCs/>
                <w:noProof w:val="0"/>
                <w:rtl/>
              </w:rPr>
              <w:t>(בבקשה לסילוק על הסף)</w:t>
            </w:r>
          </w:p>
          <w:p w:rsidR="00D44968" w:rsidRPr="00D44968" w:rsidRDefault="00D44968" w:rsidP="00D44968">
            <w:pPr>
              <w:bidi w:val="0"/>
              <w:jc w:val="center"/>
              <w:rPr>
                <w:rFonts w:ascii="Arial" w:hAnsi="Arial"/>
                <w:b/>
                <w:bCs/>
                <w:noProof w:val="0"/>
                <w:sz w:val="28"/>
                <w:szCs w:val="28"/>
                <w:u w:val="single"/>
              </w:rPr>
            </w:pPr>
          </w:p>
        </w:tc>
      </w:tr>
    </w:tbl>
    <w:p w:rsidR="000B74E6" w:rsidRDefault="000B74E6" w:rsidP="000B74E6">
      <w:pPr>
        <w:spacing w:line="360" w:lineRule="auto"/>
        <w:ind w:hanging="510"/>
        <w:jc w:val="both"/>
        <w:rPr>
          <w:rFonts w:ascii="David" w:hAnsi="David"/>
          <w:rtl/>
        </w:rPr>
      </w:pPr>
      <w:bookmarkStart w:id="0" w:name="NGCSBookmark"/>
      <w:bookmarkEnd w:id="0"/>
    </w:p>
    <w:p w:rsidR="000B74E6" w:rsidRDefault="000B74E6" w:rsidP="000B74E6">
      <w:pPr>
        <w:pStyle w:val="ad"/>
        <w:numPr>
          <w:ilvl w:val="0"/>
          <w:numId w:val="1"/>
        </w:numPr>
        <w:spacing w:after="0" w:line="360" w:lineRule="auto"/>
        <w:ind w:left="340" w:hanging="510"/>
        <w:jc w:val="both"/>
        <w:rPr>
          <w:rFonts w:ascii="David" w:hAnsi="David" w:cs="David"/>
          <w:sz w:val="24"/>
          <w:szCs w:val="24"/>
          <w:rtl/>
        </w:rPr>
      </w:pPr>
      <w:r>
        <w:rPr>
          <w:rFonts w:ascii="David" w:hAnsi="David" w:cs="David"/>
          <w:sz w:val="24"/>
          <w:szCs w:val="24"/>
          <w:rtl/>
        </w:rPr>
        <w:t>לפני בקשת המשיב לסילוק על הסף של הבקשה לאשר את התובענה שבכותרת כתובענה ייצוגית (להלן: "</w:t>
      </w:r>
      <w:r>
        <w:rPr>
          <w:rFonts w:ascii="David" w:hAnsi="David" w:cs="David"/>
          <w:b/>
          <w:bCs/>
          <w:sz w:val="24"/>
          <w:szCs w:val="24"/>
          <w:rtl/>
        </w:rPr>
        <w:t>בקשת האישור</w:t>
      </w:r>
      <w:r>
        <w:rPr>
          <w:rFonts w:ascii="David" w:hAnsi="David" w:cs="David"/>
          <w:sz w:val="24"/>
          <w:szCs w:val="24"/>
          <w:rtl/>
        </w:rPr>
        <w:t>").</w:t>
      </w:r>
    </w:p>
    <w:p w:rsidR="000B74E6" w:rsidRDefault="000B74E6" w:rsidP="000B74E6">
      <w:pPr>
        <w:pStyle w:val="ad"/>
        <w:spacing w:after="0" w:line="360" w:lineRule="auto"/>
        <w:ind w:left="340" w:hanging="510"/>
        <w:jc w:val="both"/>
        <w:rPr>
          <w:rFonts w:cs="David"/>
          <w:sz w:val="24"/>
          <w:szCs w:val="24"/>
          <w:rtl/>
        </w:rPr>
      </w:pPr>
    </w:p>
    <w:p w:rsidR="000B74E6" w:rsidRDefault="000B74E6" w:rsidP="000B74E6">
      <w:pPr>
        <w:spacing w:line="360" w:lineRule="auto"/>
        <w:ind w:hanging="170"/>
        <w:jc w:val="both"/>
        <w:rPr>
          <w:sz w:val="28"/>
          <w:szCs w:val="28"/>
          <w:rtl/>
        </w:rPr>
      </w:pPr>
      <w:r>
        <w:rPr>
          <w:b/>
          <w:bCs/>
          <w:sz w:val="28"/>
          <w:szCs w:val="28"/>
          <w:u w:val="single"/>
          <w:rtl/>
        </w:rPr>
        <w:t>רקע</w:t>
      </w:r>
    </w:p>
    <w:p w:rsidR="000B74E6" w:rsidRDefault="000B74E6" w:rsidP="000B74E6">
      <w:pPr>
        <w:pStyle w:val="ad"/>
        <w:spacing w:after="0" w:line="360" w:lineRule="auto"/>
        <w:ind w:left="340"/>
        <w:jc w:val="both"/>
        <w:rPr>
          <w:rFonts w:cs="David"/>
          <w:sz w:val="24"/>
          <w:szCs w:val="24"/>
          <w:rtl/>
        </w:rPr>
      </w:pPr>
    </w:p>
    <w:p w:rsidR="000B74E6" w:rsidRDefault="000B74E6" w:rsidP="000B74E6">
      <w:pPr>
        <w:pStyle w:val="ad"/>
        <w:numPr>
          <w:ilvl w:val="0"/>
          <w:numId w:val="1"/>
        </w:numPr>
        <w:spacing w:after="0" w:line="360" w:lineRule="auto"/>
        <w:ind w:left="340" w:hanging="510"/>
        <w:jc w:val="both"/>
        <w:rPr>
          <w:rFonts w:cs="David"/>
          <w:sz w:val="24"/>
          <w:szCs w:val="24"/>
        </w:rPr>
      </w:pPr>
      <w:r>
        <w:rPr>
          <w:rFonts w:cs="David"/>
          <w:sz w:val="24"/>
          <w:szCs w:val="24"/>
          <w:rtl/>
        </w:rPr>
        <w:t>עניינה של בקשת האישור הוא בטענה כי הוועדות הרפואיות הפועלות "מטעם" המוסד לביטוח לאומי (להלן: "</w:t>
      </w:r>
      <w:r>
        <w:rPr>
          <w:rFonts w:cs="David"/>
          <w:b/>
          <w:bCs/>
          <w:sz w:val="24"/>
          <w:szCs w:val="24"/>
          <w:rtl/>
        </w:rPr>
        <w:t>הוועדות הרפואיות</w:t>
      </w:r>
      <w:r>
        <w:rPr>
          <w:rFonts w:cs="David"/>
          <w:sz w:val="24"/>
          <w:szCs w:val="24"/>
          <w:rtl/>
        </w:rPr>
        <w:t xml:space="preserve">" </w:t>
      </w:r>
      <w:proofErr w:type="spellStart"/>
      <w:r>
        <w:rPr>
          <w:rFonts w:cs="David"/>
          <w:sz w:val="24"/>
          <w:szCs w:val="24"/>
          <w:rtl/>
        </w:rPr>
        <w:t>ו"</w:t>
      </w:r>
      <w:r>
        <w:rPr>
          <w:rFonts w:cs="David"/>
          <w:b/>
          <w:bCs/>
          <w:sz w:val="24"/>
          <w:szCs w:val="24"/>
          <w:rtl/>
        </w:rPr>
        <w:t>המל"ל</w:t>
      </w:r>
      <w:proofErr w:type="spellEnd"/>
      <w:r>
        <w:rPr>
          <w:rFonts w:cs="David"/>
          <w:sz w:val="24"/>
          <w:szCs w:val="24"/>
          <w:rtl/>
        </w:rPr>
        <w:t xml:space="preserve">" או </w:t>
      </w:r>
      <w:r>
        <w:rPr>
          <w:rFonts w:cs="David"/>
          <w:b/>
          <w:bCs/>
          <w:sz w:val="24"/>
          <w:szCs w:val="24"/>
          <w:rtl/>
        </w:rPr>
        <w:t>"המוסד"</w:t>
      </w:r>
      <w:r>
        <w:rPr>
          <w:rFonts w:cs="David"/>
          <w:sz w:val="24"/>
          <w:szCs w:val="24"/>
          <w:rtl/>
        </w:rPr>
        <w:t xml:space="preserve"> או "</w:t>
      </w:r>
      <w:r>
        <w:rPr>
          <w:rFonts w:cs="David"/>
          <w:b/>
          <w:bCs/>
          <w:sz w:val="24"/>
          <w:szCs w:val="24"/>
          <w:rtl/>
        </w:rPr>
        <w:t>המשיב</w:t>
      </w:r>
      <w:r>
        <w:rPr>
          <w:rFonts w:cs="David"/>
          <w:sz w:val="24"/>
          <w:szCs w:val="24"/>
          <w:rtl/>
        </w:rPr>
        <w:t>", בהתאמה) אינן מאפשרות נוכחות של מלווה בעת בדיקת מבוטח בוועדות הרפואיות בתחום הנפשי.</w:t>
      </w:r>
    </w:p>
    <w:p w:rsidR="000B74E6" w:rsidRDefault="000B74E6" w:rsidP="000B74E6">
      <w:pPr>
        <w:pStyle w:val="ad"/>
        <w:spacing w:after="0" w:line="360" w:lineRule="auto"/>
        <w:ind w:left="340"/>
        <w:jc w:val="both"/>
        <w:rPr>
          <w:rFonts w:cs="David"/>
          <w:sz w:val="24"/>
          <w:szCs w:val="24"/>
        </w:rPr>
      </w:pPr>
    </w:p>
    <w:p w:rsidR="000B74E6" w:rsidRDefault="000B74E6" w:rsidP="002E5837">
      <w:pPr>
        <w:pStyle w:val="ad"/>
        <w:numPr>
          <w:ilvl w:val="0"/>
          <w:numId w:val="1"/>
        </w:numPr>
        <w:spacing w:after="0" w:line="360" w:lineRule="auto"/>
        <w:ind w:left="340" w:hanging="510"/>
        <w:jc w:val="both"/>
        <w:rPr>
          <w:rFonts w:cs="David"/>
          <w:sz w:val="24"/>
          <w:szCs w:val="24"/>
        </w:rPr>
      </w:pPr>
      <w:r>
        <w:rPr>
          <w:rFonts w:cs="David"/>
          <w:sz w:val="24"/>
          <w:szCs w:val="24"/>
          <w:rtl/>
        </w:rPr>
        <w:t xml:space="preserve">בבקשת האישור נטען </w:t>
      </w:r>
      <w:r w:rsidR="002E5837">
        <w:rPr>
          <w:rFonts w:cs="David"/>
          <w:sz w:val="24"/>
          <w:szCs w:val="24"/>
          <w:rtl/>
        </w:rPr>
        <w:t>כי ביום 18.8.2014 חוותה המבקשת</w:t>
      </w:r>
      <w:r w:rsidR="002E5837">
        <w:rPr>
          <w:rFonts w:cs="David" w:hint="cs"/>
          <w:sz w:val="24"/>
          <w:szCs w:val="24"/>
          <w:rtl/>
        </w:rPr>
        <w:t xml:space="preserve"> </w:t>
      </w:r>
      <w:r>
        <w:rPr>
          <w:rFonts w:cs="David"/>
          <w:sz w:val="24"/>
          <w:szCs w:val="24"/>
          <w:rtl/>
        </w:rPr>
        <w:t xml:space="preserve">אירוע במסגרת עבודתה בגינו החלה לסבול מפגיעה נפשית. המבקשת הגישה </w:t>
      </w:r>
      <w:proofErr w:type="spellStart"/>
      <w:r>
        <w:rPr>
          <w:rFonts w:cs="David"/>
          <w:sz w:val="24"/>
          <w:szCs w:val="24"/>
          <w:rtl/>
        </w:rPr>
        <w:t>למל"ל</w:t>
      </w:r>
      <w:proofErr w:type="spellEnd"/>
      <w:r>
        <w:rPr>
          <w:rFonts w:cs="David"/>
          <w:sz w:val="24"/>
          <w:szCs w:val="24"/>
          <w:rtl/>
        </w:rPr>
        <w:t xml:space="preserve"> תביעה לקביעת דרגת נכות בגין פגיעה בעבודה ונבדקה בתחום הנפשי על ידי ועדות רפואיות </w:t>
      </w:r>
      <w:r>
        <w:rPr>
          <w:rFonts w:cs="David"/>
          <w:b/>
          <w:bCs/>
          <w:sz w:val="24"/>
          <w:szCs w:val="24"/>
          <w:rtl/>
        </w:rPr>
        <w:t>בענף נפגעי עבודה</w:t>
      </w:r>
      <w:r>
        <w:rPr>
          <w:rFonts w:ascii="David" w:hAnsi="David" w:cs="David"/>
          <w:sz w:val="24"/>
          <w:szCs w:val="24"/>
          <w:rtl/>
        </w:rPr>
        <w:t>. לוועדה הרפואית מדרג ראשון (להלן: "</w:t>
      </w:r>
      <w:r>
        <w:rPr>
          <w:rFonts w:ascii="David" w:hAnsi="David" w:cs="David"/>
          <w:b/>
          <w:bCs/>
          <w:sz w:val="24"/>
          <w:szCs w:val="24"/>
          <w:rtl/>
        </w:rPr>
        <w:t>הוועדה הראשונה</w:t>
      </w:r>
      <w:r>
        <w:rPr>
          <w:rFonts w:ascii="David" w:hAnsi="David" w:cs="David"/>
          <w:sz w:val="24"/>
          <w:szCs w:val="24"/>
          <w:rtl/>
        </w:rPr>
        <w:t xml:space="preserve">") הגיעה המבקשת לבד. לוועדה </w:t>
      </w:r>
      <w:r>
        <w:rPr>
          <w:rFonts w:cs="David"/>
          <w:sz w:val="24"/>
          <w:szCs w:val="24"/>
          <w:rtl/>
        </w:rPr>
        <w:t>הרפואית לערעורים שבענף נפגעי עבודה (להלן: "</w:t>
      </w:r>
      <w:r>
        <w:rPr>
          <w:rFonts w:cs="David"/>
          <w:b/>
          <w:bCs/>
          <w:sz w:val="24"/>
          <w:szCs w:val="24"/>
          <w:rtl/>
        </w:rPr>
        <w:t>הוועדה לערעורים</w:t>
      </w:r>
      <w:r>
        <w:rPr>
          <w:rFonts w:cs="David"/>
          <w:sz w:val="24"/>
          <w:szCs w:val="24"/>
          <w:rtl/>
        </w:rPr>
        <w:t>") הגיעה המבקשת בליווי עו"ד, אשר התבקש לצאת מהחדר בעת שנבדקה המבקשת, כשהדבר כלל לא צוין בפרוטוקול. המבקשת הוסיפה כי במספר סניפים של המשיב נתלה שלט בו נכתב כי הוא אינו מאפשר נוכחות מלווה במהלך בדיקות הוועדות הרפואיות בתחום הנפשי, וצירפה תמונות של שלט בנוסח זה אשר צולמו בשניים מסניפי המשיב.</w:t>
      </w:r>
    </w:p>
    <w:p w:rsidR="000B74E6" w:rsidRDefault="000B74E6" w:rsidP="000B74E6">
      <w:pPr>
        <w:pStyle w:val="ad"/>
        <w:spacing w:after="0" w:line="360" w:lineRule="auto"/>
        <w:ind w:left="340"/>
        <w:jc w:val="both"/>
        <w:rPr>
          <w:rFonts w:cs="David"/>
          <w:sz w:val="24"/>
          <w:szCs w:val="24"/>
        </w:rPr>
      </w:pPr>
    </w:p>
    <w:p w:rsidR="000B74E6" w:rsidRDefault="000B74E6" w:rsidP="000B74E6">
      <w:pPr>
        <w:pStyle w:val="ad"/>
        <w:numPr>
          <w:ilvl w:val="0"/>
          <w:numId w:val="1"/>
        </w:numPr>
        <w:spacing w:after="0" w:line="360" w:lineRule="auto"/>
        <w:ind w:left="340" w:hanging="510"/>
        <w:jc w:val="both"/>
        <w:rPr>
          <w:rFonts w:cs="David"/>
          <w:sz w:val="24"/>
          <w:szCs w:val="24"/>
        </w:rPr>
      </w:pPr>
      <w:r>
        <w:rPr>
          <w:rFonts w:cs="David"/>
          <w:sz w:val="24"/>
          <w:szCs w:val="24"/>
          <w:rtl/>
        </w:rPr>
        <w:t xml:space="preserve">נטען כי המשיב הפר את הוראות סעיף 19ג להוראות חוק שוויון זכויות לאנשים עם מוגבלות, תשנ"ח-1998 (להלן: </w:t>
      </w:r>
      <w:r>
        <w:rPr>
          <w:rFonts w:cs="David"/>
          <w:b/>
          <w:bCs/>
          <w:sz w:val="24"/>
          <w:szCs w:val="24"/>
          <w:rtl/>
        </w:rPr>
        <w:t>"חוק השוויון"</w:t>
      </w:r>
      <w:r>
        <w:rPr>
          <w:rFonts w:cs="David"/>
          <w:sz w:val="24"/>
          <w:szCs w:val="24"/>
          <w:rtl/>
        </w:rPr>
        <w:t xml:space="preserve">), שכן הפלה את בעלי המוגבלות הנפשית מחמת מוגבלותם, ונתן לבעלי מוגבלות נפשית שירות ציבורי בתנאים הנופלים מאלה שבהם השירות ניתן לכלל הציבור. כן נטען כי הנזק שנגרם למבקשת ולחברי הקבוצה הוא בעיקרו נזק לא ממוני, אשר ניתן </w:t>
      </w:r>
      <w:proofErr w:type="spellStart"/>
      <w:r>
        <w:rPr>
          <w:rFonts w:cs="David"/>
          <w:sz w:val="24"/>
          <w:szCs w:val="24"/>
          <w:rtl/>
        </w:rPr>
        <w:t>לפוסקו</w:t>
      </w:r>
      <w:proofErr w:type="spellEnd"/>
      <w:r>
        <w:rPr>
          <w:rFonts w:cs="David"/>
          <w:sz w:val="24"/>
          <w:szCs w:val="24"/>
          <w:rtl/>
        </w:rPr>
        <w:t xml:space="preserve"> במסגרת תביעה ייצוגית בעילה דנא, ללא צורך בהוכחת נזק (סעיף 20(ה) לחוק תובענות ייצוגיות, תשס"ו-2006, להלן: </w:t>
      </w:r>
      <w:r>
        <w:rPr>
          <w:rFonts w:cs="David"/>
          <w:b/>
          <w:bCs/>
          <w:sz w:val="24"/>
          <w:szCs w:val="24"/>
          <w:rtl/>
        </w:rPr>
        <w:t>"חוק תובענות ייצוגיות"</w:t>
      </w:r>
      <w:r>
        <w:rPr>
          <w:rFonts w:cs="David"/>
          <w:sz w:val="24"/>
          <w:szCs w:val="24"/>
          <w:rtl/>
        </w:rPr>
        <w:t>).</w:t>
      </w:r>
    </w:p>
    <w:p w:rsidR="000B74E6" w:rsidRDefault="000B74E6" w:rsidP="000B74E6">
      <w:pPr>
        <w:pStyle w:val="ad"/>
        <w:spacing w:after="0" w:line="360" w:lineRule="auto"/>
        <w:ind w:left="340"/>
        <w:jc w:val="both"/>
        <w:rPr>
          <w:rFonts w:cs="David"/>
          <w:sz w:val="24"/>
          <w:szCs w:val="24"/>
        </w:rPr>
      </w:pPr>
    </w:p>
    <w:p w:rsidR="000B74E6" w:rsidRDefault="000B74E6" w:rsidP="000B74E6">
      <w:pPr>
        <w:pStyle w:val="ad"/>
        <w:numPr>
          <w:ilvl w:val="0"/>
          <w:numId w:val="1"/>
        </w:numPr>
        <w:spacing w:after="0" w:line="360" w:lineRule="auto"/>
        <w:ind w:left="340" w:hanging="510"/>
        <w:jc w:val="both"/>
        <w:rPr>
          <w:rFonts w:cs="David"/>
          <w:sz w:val="24"/>
          <w:szCs w:val="24"/>
        </w:rPr>
      </w:pPr>
      <w:r>
        <w:rPr>
          <w:rFonts w:cs="David"/>
          <w:sz w:val="24"/>
          <w:szCs w:val="24"/>
          <w:rtl/>
        </w:rPr>
        <w:t>הקבוצה בשמה הוגשה בקשת האישור הוגדרה כך:</w:t>
      </w:r>
    </w:p>
    <w:p w:rsidR="000B74E6" w:rsidRDefault="000B74E6" w:rsidP="000B74E6">
      <w:pPr>
        <w:pStyle w:val="ad"/>
        <w:spacing w:after="0" w:line="360" w:lineRule="auto"/>
        <w:ind w:left="1076" w:right="851"/>
        <w:jc w:val="both"/>
        <w:rPr>
          <w:rFonts w:cs="David"/>
          <w:b/>
          <w:bCs/>
          <w:sz w:val="24"/>
          <w:szCs w:val="24"/>
          <w:rtl/>
        </w:rPr>
      </w:pPr>
    </w:p>
    <w:p w:rsidR="000B74E6" w:rsidRDefault="000B74E6" w:rsidP="000B74E6">
      <w:pPr>
        <w:pStyle w:val="ad"/>
        <w:spacing w:after="0" w:line="360" w:lineRule="auto"/>
        <w:ind w:left="1076" w:right="851"/>
        <w:jc w:val="both"/>
        <w:rPr>
          <w:rFonts w:cs="David"/>
          <w:sz w:val="24"/>
          <w:szCs w:val="24"/>
        </w:rPr>
      </w:pPr>
      <w:r>
        <w:rPr>
          <w:rFonts w:cs="David"/>
          <w:b/>
          <w:bCs/>
          <w:sz w:val="24"/>
          <w:szCs w:val="24"/>
          <w:rtl/>
        </w:rPr>
        <w:t>"כל אדם אשר נבדק על ידי ועדה רפואית מטעם המשיב, בתחום הנפשי, ונאסר על מלווה מטעמו (לרבות בא כוח) להיות נוכח בעת בדיקתו הרפואית או הוצג בפניו מצג לפיו אסור למלווה להיות נוכח בעת בדיקתו כאמור"</w:t>
      </w:r>
      <w:r>
        <w:rPr>
          <w:rFonts w:cs="David"/>
          <w:sz w:val="24"/>
          <w:szCs w:val="24"/>
          <w:rtl/>
        </w:rPr>
        <w:t>.</w:t>
      </w:r>
    </w:p>
    <w:p w:rsidR="000B74E6" w:rsidRDefault="000B74E6" w:rsidP="000B74E6">
      <w:pPr>
        <w:pStyle w:val="ad"/>
        <w:spacing w:after="0" w:line="360" w:lineRule="auto"/>
        <w:ind w:left="340"/>
        <w:jc w:val="both"/>
        <w:rPr>
          <w:rFonts w:cs="David"/>
          <w:sz w:val="24"/>
          <w:szCs w:val="24"/>
        </w:rPr>
      </w:pPr>
    </w:p>
    <w:p w:rsidR="000B74E6" w:rsidRDefault="000B74E6" w:rsidP="000B74E6">
      <w:pPr>
        <w:pStyle w:val="ad"/>
        <w:numPr>
          <w:ilvl w:val="0"/>
          <w:numId w:val="1"/>
        </w:numPr>
        <w:spacing w:after="0" w:line="360" w:lineRule="auto"/>
        <w:ind w:left="340" w:hanging="510"/>
        <w:jc w:val="both"/>
        <w:rPr>
          <w:rFonts w:cs="David"/>
          <w:sz w:val="24"/>
          <w:szCs w:val="24"/>
        </w:rPr>
      </w:pPr>
      <w:r>
        <w:rPr>
          <w:rFonts w:cs="David"/>
          <w:sz w:val="24"/>
          <w:szCs w:val="24"/>
          <w:rtl/>
        </w:rPr>
        <w:t xml:space="preserve">כפי שנראה מהגדרת הקבוצה, לא הבחינה המבקשת בין הוועדות השונות המופעלות על ידי הביטוח הלאומי, לא בין ועדות רפואיות המשמשות ערכאה ראשונה, לבין ועדות רפואיות המשמשות ערכאה שנייה (אשר ייקראו להלן באופן כללי: </w:t>
      </w:r>
      <w:r>
        <w:rPr>
          <w:rFonts w:cs="David"/>
          <w:b/>
          <w:bCs/>
          <w:sz w:val="24"/>
          <w:szCs w:val="24"/>
          <w:rtl/>
        </w:rPr>
        <w:t>"ועדות ערר"</w:t>
      </w:r>
      <w:r>
        <w:rPr>
          <w:rFonts w:cs="David"/>
          <w:sz w:val="24"/>
          <w:szCs w:val="24"/>
          <w:rtl/>
        </w:rPr>
        <w:t>), ולא בין הענפים השונים בביטוח הלאומי אשר בתחומם עוסקת הוועדה (למשל, ענף נכות כללית, ענף נכות נפגעי עבודה וכד'). האבחנה היחידה שנעשתה על ידה הייתה כי מדובר בוועדות אשר מקיימות דיון בתחום הנפשי.</w:t>
      </w:r>
    </w:p>
    <w:p w:rsidR="000B74E6" w:rsidRDefault="000B74E6" w:rsidP="00296FD6">
      <w:pPr>
        <w:pStyle w:val="ad"/>
        <w:spacing w:after="0" w:line="360" w:lineRule="auto"/>
        <w:ind w:left="340"/>
        <w:jc w:val="both"/>
        <w:rPr>
          <w:rFonts w:cs="David"/>
          <w:sz w:val="24"/>
          <w:szCs w:val="24"/>
        </w:rPr>
      </w:pPr>
      <w:r>
        <w:rPr>
          <w:rFonts w:cs="David"/>
          <w:sz w:val="24"/>
          <w:szCs w:val="24"/>
          <w:rtl/>
        </w:rPr>
        <w:t>בנוסף לתצהיר המבקשת צורפו לבקשת האישור תצהירים לא מעטים של עורכי דין</w:t>
      </w:r>
      <w:r w:rsidR="00296FD6">
        <w:rPr>
          <w:rFonts w:cs="David" w:hint="cs"/>
          <w:sz w:val="24"/>
          <w:szCs w:val="24"/>
          <w:rtl/>
        </w:rPr>
        <w:t>,</w:t>
      </w:r>
      <w:r>
        <w:rPr>
          <w:rFonts w:cs="David"/>
          <w:sz w:val="24"/>
          <w:szCs w:val="24"/>
          <w:rtl/>
        </w:rPr>
        <w:t xml:space="preserve"> אשר תיארו מקרים דומים שאירעו להם במסגרת הופעתם כמייצגים בוועדות רפואיות של הביטוח הלאומי. בתצהירים לא פורט אם הוועדה הייתה מדרג ראשון או ועדת ערר, ואף לא לאיזה ענף השתייכה הוועדה.</w:t>
      </w:r>
    </w:p>
    <w:p w:rsidR="000B74E6" w:rsidRDefault="000B74E6" w:rsidP="000B74E6">
      <w:pPr>
        <w:pStyle w:val="ad"/>
        <w:spacing w:after="0" w:line="360" w:lineRule="auto"/>
        <w:ind w:left="340"/>
        <w:jc w:val="both"/>
        <w:rPr>
          <w:rFonts w:cs="David"/>
          <w:sz w:val="24"/>
          <w:szCs w:val="24"/>
          <w:rtl/>
        </w:rPr>
      </w:pPr>
    </w:p>
    <w:p w:rsidR="000B74E6" w:rsidRDefault="000B74E6" w:rsidP="000B74E6">
      <w:pPr>
        <w:pStyle w:val="ad"/>
        <w:numPr>
          <w:ilvl w:val="0"/>
          <w:numId w:val="1"/>
        </w:numPr>
        <w:spacing w:after="0" w:line="360" w:lineRule="auto"/>
        <w:ind w:left="340" w:hanging="510"/>
        <w:jc w:val="both"/>
        <w:rPr>
          <w:rFonts w:cs="David"/>
          <w:sz w:val="24"/>
          <w:szCs w:val="24"/>
        </w:rPr>
      </w:pPr>
      <w:r>
        <w:rPr>
          <w:rFonts w:cs="David"/>
          <w:sz w:val="24"/>
          <w:szCs w:val="24"/>
          <w:rtl/>
        </w:rPr>
        <w:t>המוסד הגיש בכתב טענות אחד את תשובתו לבקשת האישור ובקשה לדחייתה על הסף (להלן</w:t>
      </w:r>
      <w:r>
        <w:rPr>
          <w:rFonts w:cs="David" w:hint="cs"/>
          <w:sz w:val="24"/>
          <w:szCs w:val="24"/>
          <w:rtl/>
        </w:rPr>
        <w:t xml:space="preserve"> גם</w:t>
      </w:r>
      <w:r>
        <w:rPr>
          <w:rFonts w:cs="David"/>
          <w:sz w:val="24"/>
          <w:szCs w:val="24"/>
          <w:rtl/>
        </w:rPr>
        <w:t xml:space="preserve">: </w:t>
      </w:r>
      <w:r>
        <w:rPr>
          <w:rFonts w:cs="David"/>
          <w:b/>
          <w:bCs/>
          <w:sz w:val="24"/>
          <w:szCs w:val="24"/>
          <w:rtl/>
        </w:rPr>
        <w:t>"בקשת הסילוק"</w:t>
      </w:r>
      <w:r>
        <w:rPr>
          <w:rFonts w:cs="David"/>
          <w:sz w:val="24"/>
          <w:szCs w:val="24"/>
          <w:rtl/>
        </w:rPr>
        <w:t xml:space="preserve">), במסגרתה טען, בין, היתר, </w:t>
      </w:r>
      <w:r>
        <w:rPr>
          <w:rFonts w:cs="David"/>
          <w:b/>
          <w:bCs/>
          <w:sz w:val="24"/>
          <w:szCs w:val="24"/>
          <w:rtl/>
        </w:rPr>
        <w:t>להיעדר יריבות</w:t>
      </w:r>
      <w:r>
        <w:rPr>
          <w:rFonts w:cs="David"/>
          <w:sz w:val="24"/>
          <w:szCs w:val="24"/>
          <w:rtl/>
        </w:rPr>
        <w:t xml:space="preserve">. </w:t>
      </w:r>
    </w:p>
    <w:p w:rsidR="000B74E6" w:rsidRDefault="000B74E6" w:rsidP="000B74E6">
      <w:pPr>
        <w:pStyle w:val="ad"/>
        <w:spacing w:after="0" w:line="360" w:lineRule="auto"/>
        <w:ind w:left="340"/>
        <w:jc w:val="both"/>
        <w:rPr>
          <w:rFonts w:cs="David"/>
          <w:sz w:val="24"/>
          <w:szCs w:val="24"/>
        </w:rPr>
      </w:pPr>
      <w:r>
        <w:rPr>
          <w:rFonts w:cs="David"/>
          <w:sz w:val="24"/>
          <w:szCs w:val="24"/>
          <w:rtl/>
        </w:rPr>
        <w:t>המבקשת עמדה על דעתה כי המוסד הוא הנתבע הנכון.</w:t>
      </w:r>
    </w:p>
    <w:p w:rsidR="000B74E6" w:rsidRDefault="000B74E6" w:rsidP="000B74E6">
      <w:pPr>
        <w:pStyle w:val="ad"/>
        <w:spacing w:after="0" w:line="360" w:lineRule="auto"/>
        <w:ind w:left="340"/>
        <w:jc w:val="both"/>
        <w:rPr>
          <w:rFonts w:cs="David"/>
          <w:sz w:val="24"/>
          <w:szCs w:val="24"/>
        </w:rPr>
      </w:pPr>
    </w:p>
    <w:p w:rsidR="000B74E6" w:rsidRDefault="000B74E6" w:rsidP="000B74E6">
      <w:pPr>
        <w:pStyle w:val="ad"/>
        <w:numPr>
          <w:ilvl w:val="0"/>
          <w:numId w:val="1"/>
        </w:numPr>
        <w:spacing w:after="0" w:line="360" w:lineRule="auto"/>
        <w:ind w:left="340" w:hanging="510"/>
        <w:jc w:val="both"/>
        <w:rPr>
          <w:rFonts w:cs="David"/>
          <w:sz w:val="24"/>
          <w:szCs w:val="24"/>
        </w:rPr>
      </w:pPr>
      <w:r>
        <w:rPr>
          <w:rFonts w:cs="David"/>
          <w:sz w:val="24"/>
          <w:szCs w:val="24"/>
          <w:rtl/>
        </w:rPr>
        <w:t>היועץ המשפטי לממשלה (להלן גם: "</w:t>
      </w:r>
      <w:r>
        <w:rPr>
          <w:rFonts w:cs="David"/>
          <w:b/>
          <w:bCs/>
          <w:sz w:val="24"/>
          <w:szCs w:val="24"/>
          <w:rtl/>
        </w:rPr>
        <w:t>היועמ"ש</w:t>
      </w:r>
      <w:r>
        <w:rPr>
          <w:rFonts w:cs="David"/>
          <w:sz w:val="24"/>
          <w:szCs w:val="24"/>
          <w:rtl/>
        </w:rPr>
        <w:t xml:space="preserve">) התבקש להגיש את עמדתו בסוגיית </w:t>
      </w:r>
      <w:r>
        <w:rPr>
          <w:rFonts w:cs="David"/>
          <w:b/>
          <w:bCs/>
          <w:sz w:val="24"/>
          <w:szCs w:val="24"/>
          <w:rtl/>
        </w:rPr>
        <w:t>העדר היריבות</w:t>
      </w:r>
      <w:r>
        <w:rPr>
          <w:rFonts w:cs="David"/>
          <w:sz w:val="24"/>
          <w:szCs w:val="24"/>
          <w:rtl/>
        </w:rPr>
        <w:t>, שנטענה בבקשת הסילוק.</w:t>
      </w:r>
    </w:p>
    <w:p w:rsidR="000B74E6" w:rsidRDefault="000B74E6" w:rsidP="000B74E6">
      <w:pPr>
        <w:pStyle w:val="ad"/>
        <w:spacing w:after="0" w:line="360" w:lineRule="auto"/>
        <w:ind w:left="340"/>
        <w:jc w:val="both"/>
        <w:rPr>
          <w:rFonts w:cs="David"/>
          <w:sz w:val="24"/>
          <w:szCs w:val="24"/>
        </w:rPr>
      </w:pPr>
    </w:p>
    <w:p w:rsidR="000B74E6" w:rsidRDefault="000B74E6" w:rsidP="000B74E6">
      <w:pPr>
        <w:pStyle w:val="ad"/>
        <w:numPr>
          <w:ilvl w:val="0"/>
          <w:numId w:val="1"/>
        </w:numPr>
        <w:spacing w:after="0" w:line="360" w:lineRule="auto"/>
        <w:ind w:left="340" w:hanging="510"/>
        <w:jc w:val="both"/>
        <w:rPr>
          <w:rFonts w:cs="David"/>
          <w:sz w:val="24"/>
          <w:szCs w:val="24"/>
        </w:rPr>
      </w:pPr>
      <w:r>
        <w:rPr>
          <w:rFonts w:cs="David"/>
          <w:sz w:val="24"/>
          <w:szCs w:val="24"/>
          <w:rtl/>
        </w:rPr>
        <w:lastRenderedPageBreak/>
        <w:t xml:space="preserve">במענה להחלטה דנן הודיע היועמ"ש </w:t>
      </w:r>
      <w:r>
        <w:rPr>
          <w:rFonts w:cs="David"/>
          <w:b/>
          <w:bCs/>
          <w:sz w:val="24"/>
          <w:szCs w:val="24"/>
          <w:rtl/>
        </w:rPr>
        <w:t>על התייצבותו בהליך</w:t>
      </w:r>
      <w:r>
        <w:rPr>
          <w:rFonts w:cs="David"/>
          <w:sz w:val="24"/>
          <w:szCs w:val="24"/>
          <w:rtl/>
        </w:rPr>
        <w:t>, בהתאם לסמכותו לפי סעיף 1 לפקודת סדרי הדין (התייצבות היועץ המשפטי לממשלה) [נוסח חדש], והגיש עמדה.</w:t>
      </w:r>
    </w:p>
    <w:p w:rsidR="000B74E6" w:rsidRDefault="000B74E6" w:rsidP="000B74E6">
      <w:pPr>
        <w:pStyle w:val="ad"/>
        <w:spacing w:after="0" w:line="360" w:lineRule="auto"/>
        <w:ind w:left="340"/>
        <w:jc w:val="both"/>
        <w:rPr>
          <w:rFonts w:cs="David"/>
          <w:sz w:val="24"/>
          <w:szCs w:val="24"/>
        </w:rPr>
      </w:pPr>
      <w:r>
        <w:rPr>
          <w:rFonts w:cs="David"/>
          <w:sz w:val="24"/>
          <w:szCs w:val="24"/>
          <w:rtl/>
        </w:rPr>
        <w:t>בהמשך החלטה זו תובא סקירת עמדת היועמ"ש והשתלשלות הדברים לאחר קבלת העמדה.</w:t>
      </w:r>
    </w:p>
    <w:p w:rsidR="000B74E6" w:rsidRDefault="000B74E6" w:rsidP="000B74E6">
      <w:pPr>
        <w:pStyle w:val="ad"/>
        <w:spacing w:after="0" w:line="360" w:lineRule="auto"/>
        <w:ind w:left="340" w:hanging="510"/>
        <w:jc w:val="both"/>
        <w:rPr>
          <w:rFonts w:cs="David"/>
          <w:sz w:val="24"/>
          <w:szCs w:val="24"/>
        </w:rPr>
      </w:pPr>
    </w:p>
    <w:p w:rsidR="000B74E6" w:rsidRDefault="000B74E6" w:rsidP="000B74E6">
      <w:pPr>
        <w:pStyle w:val="ad"/>
        <w:spacing w:after="0" w:line="360" w:lineRule="auto"/>
        <w:ind w:left="340" w:hanging="510"/>
        <w:jc w:val="both"/>
        <w:rPr>
          <w:rFonts w:cs="David"/>
          <w:b/>
          <w:bCs/>
          <w:sz w:val="28"/>
          <w:szCs w:val="28"/>
          <w:u w:val="single"/>
          <w:rtl/>
        </w:rPr>
      </w:pPr>
      <w:r>
        <w:rPr>
          <w:rFonts w:cs="David"/>
          <w:b/>
          <w:bCs/>
          <w:sz w:val="28"/>
          <w:szCs w:val="28"/>
          <w:u w:val="single"/>
          <w:rtl/>
        </w:rPr>
        <w:t>הטענות בבקשה לסילוק על הסף</w:t>
      </w:r>
    </w:p>
    <w:p w:rsidR="000B74E6" w:rsidRDefault="000B74E6" w:rsidP="000B74E6">
      <w:pPr>
        <w:pStyle w:val="ad"/>
        <w:spacing w:after="0" w:line="360" w:lineRule="auto"/>
        <w:ind w:left="340" w:hanging="510"/>
        <w:jc w:val="both"/>
        <w:rPr>
          <w:rFonts w:cs="David"/>
          <w:sz w:val="24"/>
          <w:szCs w:val="24"/>
          <w:rtl/>
        </w:rPr>
      </w:pPr>
    </w:p>
    <w:p w:rsidR="000B74E6" w:rsidRDefault="000B74E6" w:rsidP="000B74E6">
      <w:pPr>
        <w:pStyle w:val="ad"/>
        <w:spacing w:after="0" w:line="360" w:lineRule="auto"/>
        <w:ind w:left="340" w:hanging="510"/>
        <w:jc w:val="both"/>
        <w:rPr>
          <w:rFonts w:cs="David"/>
          <w:b/>
          <w:bCs/>
          <w:sz w:val="24"/>
          <w:szCs w:val="24"/>
          <w:u w:val="single"/>
          <w:rtl/>
        </w:rPr>
      </w:pPr>
      <w:r>
        <w:rPr>
          <w:rFonts w:cs="David"/>
          <w:b/>
          <w:bCs/>
          <w:sz w:val="24"/>
          <w:szCs w:val="24"/>
          <w:u w:val="single"/>
          <w:rtl/>
        </w:rPr>
        <w:t>טענות המוסד</w:t>
      </w:r>
    </w:p>
    <w:p w:rsidR="000B74E6" w:rsidRDefault="000B74E6" w:rsidP="000B74E6">
      <w:pPr>
        <w:pStyle w:val="ad"/>
        <w:spacing w:after="0" w:line="360" w:lineRule="auto"/>
        <w:ind w:left="340"/>
        <w:jc w:val="both"/>
        <w:rPr>
          <w:rFonts w:cs="David"/>
          <w:color w:val="FF0000"/>
          <w:sz w:val="24"/>
          <w:szCs w:val="24"/>
        </w:rPr>
      </w:pPr>
    </w:p>
    <w:p w:rsidR="000B74E6" w:rsidRDefault="000B74E6" w:rsidP="000B74E6">
      <w:pPr>
        <w:pStyle w:val="ad"/>
        <w:numPr>
          <w:ilvl w:val="0"/>
          <w:numId w:val="1"/>
        </w:numPr>
        <w:spacing w:after="0" w:line="360" w:lineRule="auto"/>
        <w:ind w:left="340" w:hanging="510"/>
        <w:jc w:val="both"/>
        <w:rPr>
          <w:rFonts w:cs="David"/>
          <w:color w:val="FF0000"/>
          <w:sz w:val="24"/>
          <w:szCs w:val="24"/>
        </w:rPr>
      </w:pPr>
      <w:r>
        <w:rPr>
          <w:rFonts w:cs="David"/>
          <w:sz w:val="24"/>
          <w:szCs w:val="24"/>
          <w:rtl/>
        </w:rPr>
        <w:t xml:space="preserve">הוועדות הרפואיות הן גופים סטטוטוריים, מעין שיפוטיים, בלתי תלויים, החיצוניים למשיב, וככאלה, שיקול דעתן עצמאי והן אינן כפופות למרותו או להנחיותיו. כל החלטה המתקבלת על ידי הוועדות הרפואיות, לרבות החלטה הנוגעת לנוכחות מלווה בשעת בדיקה, היא החלטה רפואית מובהקת הנתונה לשיקול הדעת העצמאי והבלתי תלוי של הוועדה. למשיב לא מוקנית סמכות בדין להורות לוועדה כיצד לפעול בבדיקת נפגע עבודה ואף אסור לו לעשות כן, ומשכך אין למבקשת עילת תביעה נגדו. </w:t>
      </w:r>
    </w:p>
    <w:p w:rsidR="000B74E6" w:rsidRDefault="000B74E6" w:rsidP="000B74E6">
      <w:pPr>
        <w:pStyle w:val="ad"/>
        <w:spacing w:after="0" w:line="360" w:lineRule="auto"/>
        <w:ind w:left="340"/>
        <w:jc w:val="both"/>
        <w:rPr>
          <w:rFonts w:cs="David"/>
          <w:color w:val="FF0000"/>
          <w:sz w:val="24"/>
          <w:szCs w:val="24"/>
        </w:rPr>
      </w:pPr>
    </w:p>
    <w:p w:rsidR="000B74E6" w:rsidRDefault="000B74E6" w:rsidP="000B74E6">
      <w:pPr>
        <w:pStyle w:val="ad"/>
        <w:numPr>
          <w:ilvl w:val="0"/>
          <w:numId w:val="1"/>
        </w:numPr>
        <w:spacing w:after="0" w:line="360" w:lineRule="auto"/>
        <w:ind w:left="340" w:hanging="510"/>
        <w:jc w:val="both"/>
        <w:rPr>
          <w:rFonts w:cs="David"/>
          <w:color w:val="FF0000"/>
          <w:sz w:val="24"/>
          <w:szCs w:val="24"/>
        </w:rPr>
      </w:pPr>
      <w:r>
        <w:rPr>
          <w:rFonts w:cs="David"/>
          <w:sz w:val="24"/>
          <w:szCs w:val="24"/>
          <w:rtl/>
        </w:rPr>
        <w:t xml:space="preserve">לא ניתן להגיש תובענה נזיקית על עוולה שביצעה הוועדה בעת מילוי תפקידה השיפוטי, בהיותה גוף מעין שיפוטי, לאור סעיף 8 לפקודת </w:t>
      </w:r>
      <w:proofErr w:type="spellStart"/>
      <w:r>
        <w:rPr>
          <w:rFonts w:cs="David"/>
          <w:sz w:val="24"/>
          <w:szCs w:val="24"/>
          <w:rtl/>
        </w:rPr>
        <w:t>הנזיקין</w:t>
      </w:r>
      <w:proofErr w:type="spellEnd"/>
      <w:r>
        <w:rPr>
          <w:rFonts w:cs="David"/>
          <w:sz w:val="24"/>
          <w:szCs w:val="24"/>
          <w:rtl/>
        </w:rPr>
        <w:t xml:space="preserve"> [נוסח חדש] (להלן: "</w:t>
      </w:r>
      <w:r>
        <w:rPr>
          <w:rFonts w:cs="David"/>
          <w:b/>
          <w:bCs/>
          <w:sz w:val="24"/>
          <w:szCs w:val="24"/>
          <w:rtl/>
        </w:rPr>
        <w:t xml:space="preserve">פקודת </w:t>
      </w:r>
      <w:proofErr w:type="spellStart"/>
      <w:r>
        <w:rPr>
          <w:rFonts w:cs="David"/>
          <w:b/>
          <w:bCs/>
          <w:sz w:val="24"/>
          <w:szCs w:val="24"/>
          <w:rtl/>
        </w:rPr>
        <w:t>הנזיקין</w:t>
      </w:r>
      <w:proofErr w:type="spellEnd"/>
      <w:r>
        <w:rPr>
          <w:rFonts w:cs="David"/>
          <w:b/>
          <w:bCs/>
          <w:sz w:val="24"/>
          <w:szCs w:val="24"/>
          <w:rtl/>
        </w:rPr>
        <w:t>"</w:t>
      </w:r>
      <w:r>
        <w:rPr>
          <w:rFonts w:cs="David"/>
          <w:sz w:val="24"/>
          <w:szCs w:val="24"/>
          <w:rtl/>
        </w:rPr>
        <w:t>).</w:t>
      </w:r>
    </w:p>
    <w:p w:rsidR="000B74E6" w:rsidRDefault="000B74E6" w:rsidP="000B74E6">
      <w:pPr>
        <w:pStyle w:val="ad"/>
        <w:spacing w:after="0" w:line="360" w:lineRule="auto"/>
        <w:ind w:left="340"/>
        <w:jc w:val="both"/>
        <w:rPr>
          <w:rFonts w:cs="David"/>
          <w:color w:val="FF0000"/>
          <w:sz w:val="24"/>
          <w:szCs w:val="24"/>
        </w:rPr>
      </w:pPr>
    </w:p>
    <w:p w:rsidR="000B74E6" w:rsidRDefault="000B74E6" w:rsidP="000B74E6">
      <w:pPr>
        <w:pStyle w:val="ad"/>
        <w:numPr>
          <w:ilvl w:val="0"/>
          <w:numId w:val="1"/>
        </w:numPr>
        <w:spacing w:after="0" w:line="360" w:lineRule="auto"/>
        <w:ind w:left="340" w:hanging="510"/>
        <w:jc w:val="both"/>
        <w:rPr>
          <w:rFonts w:cs="David"/>
          <w:color w:val="FF0000"/>
          <w:sz w:val="24"/>
          <w:szCs w:val="24"/>
        </w:rPr>
      </w:pPr>
      <w:r>
        <w:rPr>
          <w:rFonts w:cs="David"/>
          <w:sz w:val="24"/>
          <w:szCs w:val="24"/>
          <w:rtl/>
        </w:rPr>
        <w:t>חוק תובענות ייצוגיות אינו מאפשר הגשת תובענה ייצוגית נגד רשות בכובעה ככזאת, אלא רק לפי פרט 11 לתוספת השנייה בחוק (השבת סכומים שנגבו כמס, אגרה או תשלום חובה אחר), שאינו מתקיים בענייננו.</w:t>
      </w:r>
    </w:p>
    <w:p w:rsidR="000B74E6" w:rsidRDefault="000B74E6" w:rsidP="000B74E6">
      <w:pPr>
        <w:pStyle w:val="ad"/>
        <w:spacing w:after="0" w:line="360" w:lineRule="auto"/>
        <w:ind w:left="340"/>
        <w:jc w:val="both"/>
        <w:rPr>
          <w:rFonts w:cs="David"/>
          <w:color w:val="FF0000"/>
          <w:sz w:val="24"/>
          <w:szCs w:val="24"/>
        </w:rPr>
      </w:pPr>
    </w:p>
    <w:p w:rsidR="000B74E6" w:rsidRDefault="000B74E6" w:rsidP="000B74E6">
      <w:pPr>
        <w:pStyle w:val="ad"/>
        <w:numPr>
          <w:ilvl w:val="0"/>
          <w:numId w:val="1"/>
        </w:numPr>
        <w:spacing w:after="0" w:line="360" w:lineRule="auto"/>
        <w:ind w:left="340" w:hanging="510"/>
        <w:jc w:val="both"/>
        <w:rPr>
          <w:rFonts w:cs="David"/>
          <w:color w:val="FF0000"/>
          <w:sz w:val="24"/>
          <w:szCs w:val="24"/>
        </w:rPr>
      </w:pPr>
      <w:r>
        <w:rPr>
          <w:rFonts w:cs="David"/>
          <w:sz w:val="24"/>
          <w:szCs w:val="24"/>
          <w:rtl/>
        </w:rPr>
        <w:t>הסמכות הייחודית לדון בתובענה מסורה לבית הדין האזורי לעבודה.</w:t>
      </w:r>
    </w:p>
    <w:p w:rsidR="000B74E6" w:rsidRDefault="000B74E6" w:rsidP="000B74E6">
      <w:pPr>
        <w:pStyle w:val="ad"/>
        <w:spacing w:after="0" w:line="360" w:lineRule="auto"/>
        <w:ind w:left="340"/>
        <w:jc w:val="both"/>
        <w:rPr>
          <w:rFonts w:cs="David"/>
          <w:sz w:val="24"/>
          <w:szCs w:val="24"/>
        </w:rPr>
      </w:pPr>
    </w:p>
    <w:p w:rsidR="000B74E6" w:rsidRDefault="000B74E6" w:rsidP="000B74E6">
      <w:pPr>
        <w:pStyle w:val="ad"/>
        <w:numPr>
          <w:ilvl w:val="0"/>
          <w:numId w:val="1"/>
        </w:numPr>
        <w:spacing w:after="0" w:line="360" w:lineRule="auto"/>
        <w:ind w:left="340" w:hanging="510"/>
        <w:jc w:val="both"/>
        <w:rPr>
          <w:rFonts w:cs="David"/>
          <w:sz w:val="24"/>
          <w:szCs w:val="24"/>
        </w:rPr>
      </w:pPr>
      <w:r>
        <w:rPr>
          <w:rFonts w:cs="David"/>
          <w:sz w:val="24"/>
          <w:szCs w:val="24"/>
          <w:rtl/>
        </w:rPr>
        <w:t>טענות המבקשת נגד החלטה ופעולה של הוועדה התיישנו, משחלף המועד להגשת ערעור עליהן.</w:t>
      </w:r>
    </w:p>
    <w:p w:rsidR="000B74E6" w:rsidRDefault="000B74E6" w:rsidP="000B74E6">
      <w:pPr>
        <w:pStyle w:val="ad"/>
        <w:spacing w:after="0" w:line="360" w:lineRule="auto"/>
        <w:ind w:left="340" w:hanging="510"/>
        <w:jc w:val="both"/>
        <w:rPr>
          <w:rFonts w:cs="David"/>
          <w:sz w:val="24"/>
          <w:szCs w:val="24"/>
        </w:rPr>
      </w:pPr>
    </w:p>
    <w:p w:rsidR="000B74E6" w:rsidRDefault="000B74E6" w:rsidP="000B74E6">
      <w:pPr>
        <w:pStyle w:val="ad"/>
        <w:spacing w:after="0" w:line="360" w:lineRule="auto"/>
        <w:ind w:left="340" w:hanging="510"/>
        <w:jc w:val="both"/>
        <w:rPr>
          <w:rFonts w:cs="David"/>
          <w:b/>
          <w:bCs/>
          <w:sz w:val="24"/>
          <w:szCs w:val="24"/>
          <w:u w:val="single"/>
        </w:rPr>
      </w:pPr>
      <w:r>
        <w:rPr>
          <w:rFonts w:cs="David"/>
          <w:b/>
          <w:bCs/>
          <w:sz w:val="24"/>
          <w:szCs w:val="24"/>
          <w:u w:val="single"/>
          <w:rtl/>
        </w:rPr>
        <w:t xml:space="preserve">טענות המבקשת בתגובה לבקשה </w:t>
      </w:r>
    </w:p>
    <w:p w:rsidR="000B74E6" w:rsidRDefault="000B74E6" w:rsidP="000B74E6">
      <w:pPr>
        <w:pStyle w:val="ad"/>
        <w:spacing w:after="0" w:line="360" w:lineRule="auto"/>
        <w:ind w:left="340"/>
        <w:jc w:val="both"/>
        <w:rPr>
          <w:rFonts w:cs="David"/>
          <w:sz w:val="24"/>
          <w:szCs w:val="24"/>
        </w:rPr>
      </w:pPr>
    </w:p>
    <w:p w:rsidR="000B74E6" w:rsidRDefault="000B74E6" w:rsidP="000B74E6">
      <w:pPr>
        <w:pStyle w:val="ad"/>
        <w:numPr>
          <w:ilvl w:val="0"/>
          <w:numId w:val="1"/>
        </w:numPr>
        <w:spacing w:after="0" w:line="360" w:lineRule="auto"/>
        <w:ind w:left="340" w:hanging="510"/>
        <w:jc w:val="both"/>
        <w:rPr>
          <w:rFonts w:cs="David"/>
          <w:sz w:val="24"/>
          <w:szCs w:val="24"/>
        </w:rPr>
      </w:pPr>
      <w:r>
        <w:rPr>
          <w:rFonts w:cs="David"/>
          <w:sz w:val="24"/>
          <w:szCs w:val="24"/>
          <w:rtl/>
        </w:rPr>
        <w:t xml:space="preserve">לחברי הקבוצה יריבות עם המשיב. המשיב הודה בבקשתו כי לפחות בשניים מסניפיו הוצב שילוט אודות האיסור המפלה, וכן הודה כי הוועדות שייכות אליו מבחינה ארגונית וכי הוא אחראי על הצד הפרוצדורלי של הפעלתן. </w:t>
      </w:r>
    </w:p>
    <w:p w:rsidR="000B74E6" w:rsidRDefault="000B74E6" w:rsidP="000B74E6">
      <w:pPr>
        <w:pStyle w:val="ad"/>
        <w:spacing w:after="0" w:line="360" w:lineRule="auto"/>
        <w:ind w:left="340"/>
        <w:jc w:val="both"/>
        <w:rPr>
          <w:rFonts w:cs="David"/>
          <w:sz w:val="24"/>
          <w:szCs w:val="24"/>
        </w:rPr>
      </w:pPr>
    </w:p>
    <w:p w:rsidR="000B74E6" w:rsidRDefault="000B74E6" w:rsidP="000B74E6">
      <w:pPr>
        <w:pStyle w:val="ad"/>
        <w:numPr>
          <w:ilvl w:val="0"/>
          <w:numId w:val="1"/>
        </w:numPr>
        <w:spacing w:after="0" w:line="360" w:lineRule="auto"/>
        <w:ind w:left="340" w:hanging="510"/>
        <w:jc w:val="both"/>
        <w:rPr>
          <w:rFonts w:cs="David"/>
          <w:sz w:val="24"/>
          <w:szCs w:val="24"/>
        </w:rPr>
      </w:pPr>
      <w:r>
        <w:rPr>
          <w:rFonts w:cs="David"/>
          <w:sz w:val="24"/>
          <w:szCs w:val="24"/>
          <w:rtl/>
        </w:rPr>
        <w:t>המשיב נוהג להוציא הנחיות לגבי התנהלות הוועדות הרפואיות ובכלל זה קיים חוזר העוסק בהתנהלות הדיון, הכולל הוראות לביצוע המופנות למזכירי הוועדות.</w:t>
      </w:r>
    </w:p>
    <w:p w:rsidR="000B74E6" w:rsidRDefault="000B74E6" w:rsidP="000B74E6">
      <w:pPr>
        <w:pStyle w:val="ad"/>
        <w:spacing w:after="0" w:line="360" w:lineRule="auto"/>
        <w:ind w:left="340"/>
        <w:jc w:val="both"/>
        <w:rPr>
          <w:rFonts w:cs="David"/>
          <w:sz w:val="24"/>
          <w:szCs w:val="24"/>
        </w:rPr>
      </w:pPr>
    </w:p>
    <w:p w:rsidR="000B74E6" w:rsidRDefault="000B74E6" w:rsidP="000B74E6">
      <w:pPr>
        <w:pStyle w:val="ad"/>
        <w:numPr>
          <w:ilvl w:val="0"/>
          <w:numId w:val="1"/>
        </w:numPr>
        <w:spacing w:after="0" w:line="360" w:lineRule="auto"/>
        <w:ind w:left="340" w:hanging="510"/>
        <w:jc w:val="both"/>
        <w:rPr>
          <w:rFonts w:cs="David"/>
          <w:sz w:val="24"/>
          <w:szCs w:val="24"/>
        </w:rPr>
      </w:pPr>
      <w:r>
        <w:rPr>
          <w:rFonts w:cs="David"/>
          <w:sz w:val="24"/>
          <w:szCs w:val="24"/>
          <w:rtl/>
        </w:rPr>
        <w:t xml:space="preserve">בהתאם לפסיקה אין למדינה חסינות מלאה מפני התנהלות של שופט. בהליך מעין שיפוטי הפטור מאחריות נזיקית תקף רק בכפוף לתנאים שאינם מתקיימים בענייננו. </w:t>
      </w:r>
    </w:p>
    <w:p w:rsidR="000B74E6" w:rsidRDefault="000B74E6" w:rsidP="000B74E6">
      <w:pPr>
        <w:pStyle w:val="ad"/>
        <w:spacing w:after="0" w:line="360" w:lineRule="auto"/>
        <w:ind w:left="340"/>
        <w:jc w:val="both"/>
        <w:rPr>
          <w:rFonts w:cs="David"/>
          <w:sz w:val="24"/>
          <w:szCs w:val="24"/>
        </w:rPr>
      </w:pPr>
    </w:p>
    <w:p w:rsidR="000B74E6" w:rsidRDefault="000B74E6" w:rsidP="000B74E6">
      <w:pPr>
        <w:pStyle w:val="ad"/>
        <w:numPr>
          <w:ilvl w:val="0"/>
          <w:numId w:val="1"/>
        </w:numPr>
        <w:spacing w:after="0" w:line="360" w:lineRule="auto"/>
        <w:ind w:left="340" w:hanging="510"/>
        <w:jc w:val="both"/>
        <w:rPr>
          <w:rFonts w:cs="David"/>
          <w:sz w:val="24"/>
          <w:szCs w:val="24"/>
        </w:rPr>
      </w:pPr>
      <w:r>
        <w:rPr>
          <w:rFonts w:cs="David"/>
          <w:sz w:val="24"/>
          <w:szCs w:val="24"/>
          <w:rtl/>
        </w:rPr>
        <w:t xml:space="preserve">ועדה רפואית אינה מקיימת הליך שיפוטי, שכן לא מופיעים בפניה שני צדדים שעליה להכריע ביניהם. היא מקבלת החלטה כגוף מנהלי, כאשר רק המבוטח מופיע בפניה ונבדק על ידה. אין מדובר בדיון אדברסרי. בהתאם, לא ניתן להגיש ערעור בטענה לטעות עובדתית או טעות רפואית. ערר על החלטת הוועדה הראשונה אינו נבחן במשקפיים של ערכאת ערעור כי אם מצב הנפגע נבחן מחדש על ידי הוועדה לערעורים. </w:t>
      </w:r>
    </w:p>
    <w:p w:rsidR="000B74E6" w:rsidRDefault="000B74E6" w:rsidP="000B74E6">
      <w:pPr>
        <w:pStyle w:val="ad"/>
        <w:spacing w:after="0" w:line="360" w:lineRule="auto"/>
        <w:ind w:left="340"/>
        <w:jc w:val="both"/>
        <w:rPr>
          <w:rFonts w:cs="David"/>
          <w:sz w:val="24"/>
          <w:szCs w:val="24"/>
        </w:rPr>
      </w:pPr>
    </w:p>
    <w:p w:rsidR="000B74E6" w:rsidRDefault="000B74E6" w:rsidP="000B74E6">
      <w:pPr>
        <w:pStyle w:val="ad"/>
        <w:numPr>
          <w:ilvl w:val="0"/>
          <w:numId w:val="1"/>
        </w:numPr>
        <w:spacing w:after="0" w:line="360" w:lineRule="auto"/>
        <w:ind w:left="340" w:hanging="510"/>
        <w:jc w:val="both"/>
        <w:rPr>
          <w:rFonts w:cs="David"/>
          <w:sz w:val="24"/>
          <w:szCs w:val="24"/>
        </w:rPr>
      </w:pPr>
      <w:r>
        <w:rPr>
          <w:rFonts w:cs="David"/>
          <w:sz w:val="24"/>
          <w:szCs w:val="24"/>
          <w:rtl/>
        </w:rPr>
        <w:t xml:space="preserve">קבלת החלטה על ידי הוועדה הרפואית דומה במהותה לקבלת החלטה של גופים בעלי סמכות מעין שיפוטית, כדוגמת ועדה מקומית לתכנון ובניה, אשר אינם פטורים מאחריות </w:t>
      </w:r>
      <w:proofErr w:type="spellStart"/>
      <w:r>
        <w:rPr>
          <w:rFonts w:cs="David"/>
          <w:sz w:val="24"/>
          <w:szCs w:val="24"/>
          <w:rtl/>
        </w:rPr>
        <w:t>בנזיקין</w:t>
      </w:r>
      <w:proofErr w:type="spellEnd"/>
      <w:r>
        <w:rPr>
          <w:rFonts w:cs="David"/>
          <w:sz w:val="24"/>
          <w:szCs w:val="24"/>
          <w:rtl/>
        </w:rPr>
        <w:t xml:space="preserve"> ואין הצדקה </w:t>
      </w:r>
      <w:proofErr w:type="spellStart"/>
      <w:r>
        <w:rPr>
          <w:rFonts w:cs="David"/>
          <w:sz w:val="24"/>
          <w:szCs w:val="24"/>
          <w:rtl/>
        </w:rPr>
        <w:t>ליתן</w:t>
      </w:r>
      <w:proofErr w:type="spellEnd"/>
      <w:r>
        <w:rPr>
          <w:rFonts w:cs="David"/>
          <w:sz w:val="24"/>
          <w:szCs w:val="24"/>
          <w:rtl/>
        </w:rPr>
        <w:t xml:space="preserve"> להם פטור. המבקשת אינה תובעת את חברי הוועדות הרפואיות, אלא את המשיב, האחראי על הוועדות הרפואיות, אשר יש לו אחריות לוודא כי זכויותיהם של המבוטחים הנבדקים על ידי הוועדות הרפואיות נשמרות.</w:t>
      </w:r>
    </w:p>
    <w:p w:rsidR="000B74E6" w:rsidRDefault="000B74E6" w:rsidP="000B74E6">
      <w:pPr>
        <w:pStyle w:val="ad"/>
        <w:spacing w:after="0" w:line="360" w:lineRule="auto"/>
        <w:ind w:left="340"/>
        <w:jc w:val="both"/>
        <w:rPr>
          <w:rFonts w:cs="David"/>
          <w:sz w:val="24"/>
          <w:szCs w:val="24"/>
        </w:rPr>
      </w:pPr>
    </w:p>
    <w:p w:rsidR="000B74E6" w:rsidRDefault="000B74E6" w:rsidP="000B74E6">
      <w:pPr>
        <w:pStyle w:val="ad"/>
        <w:numPr>
          <w:ilvl w:val="0"/>
          <w:numId w:val="1"/>
        </w:numPr>
        <w:spacing w:after="0" w:line="360" w:lineRule="auto"/>
        <w:ind w:left="340" w:hanging="510"/>
        <w:jc w:val="both"/>
        <w:rPr>
          <w:rFonts w:cs="David"/>
          <w:sz w:val="24"/>
          <w:szCs w:val="24"/>
        </w:rPr>
      </w:pPr>
      <w:r>
        <w:rPr>
          <w:rFonts w:cs="David"/>
          <w:sz w:val="24"/>
          <w:szCs w:val="24"/>
          <w:rtl/>
        </w:rPr>
        <w:t xml:space="preserve">התובענה מוגשת בגין עוולה נזיקית עצמאית מכוח הפרת </w:t>
      </w:r>
      <w:r>
        <w:rPr>
          <w:rFonts w:cs="David"/>
          <w:b/>
          <w:bCs/>
          <w:sz w:val="24"/>
          <w:szCs w:val="24"/>
          <w:rtl/>
        </w:rPr>
        <w:t>הוראות חוק השוויון</w:t>
      </w:r>
      <w:r>
        <w:rPr>
          <w:rFonts w:cs="David"/>
          <w:sz w:val="24"/>
          <w:szCs w:val="24"/>
          <w:rtl/>
        </w:rPr>
        <w:t>, ובתובענה זו מוסמך לדון בית המשפט האזרחי ולא בית הדין לעבודה.</w:t>
      </w:r>
    </w:p>
    <w:p w:rsidR="000B74E6" w:rsidRDefault="000B74E6" w:rsidP="000B74E6">
      <w:pPr>
        <w:pStyle w:val="ad"/>
        <w:spacing w:after="0" w:line="360" w:lineRule="auto"/>
        <w:ind w:left="340"/>
        <w:jc w:val="both"/>
        <w:rPr>
          <w:rFonts w:cs="David"/>
          <w:sz w:val="24"/>
          <w:szCs w:val="24"/>
        </w:rPr>
      </w:pPr>
    </w:p>
    <w:p w:rsidR="000B74E6" w:rsidRDefault="000B74E6" w:rsidP="000B74E6">
      <w:pPr>
        <w:pStyle w:val="ad"/>
        <w:numPr>
          <w:ilvl w:val="0"/>
          <w:numId w:val="1"/>
        </w:numPr>
        <w:spacing w:after="0" w:line="360" w:lineRule="auto"/>
        <w:ind w:left="340" w:hanging="510"/>
        <w:jc w:val="both"/>
        <w:rPr>
          <w:rFonts w:cs="David"/>
          <w:sz w:val="24"/>
          <w:szCs w:val="24"/>
        </w:rPr>
      </w:pPr>
      <w:r>
        <w:rPr>
          <w:rFonts w:cs="David"/>
          <w:sz w:val="24"/>
          <w:szCs w:val="24"/>
          <w:rtl/>
        </w:rPr>
        <w:t>אפשרות הגשת ערעור על החלטת הוועדה אינה מונעת הגשת תביעה נזיקית בגין הפרת הוראות חוק השוויון. מדובר בהתנהלות שיטתית של ועדות רפואיות כפי שפורט בתצהירים שצורפו לבקשת האישור. יתרה מזו, הוועדה הרפואית לערעורים אינה מוסמכת לדון בעניין התנהלות הוועדה הראשונה, שכן סמכותה מוגבלת רק לדיון בדבר דרגת הנכות שנקבעה על ידי הוועדה הראשונה. גם סמכות בית הדין לעבודה בערעור על החלטה של ועדה רפואית לערעורים מוגבלת לשאלת קיומה של טעות משפטית בקביעת זכאותו של המערער.</w:t>
      </w:r>
    </w:p>
    <w:p w:rsidR="000B74E6" w:rsidRDefault="000B74E6" w:rsidP="000B74E6">
      <w:pPr>
        <w:pStyle w:val="ad"/>
        <w:spacing w:after="0" w:line="360" w:lineRule="auto"/>
        <w:ind w:left="340"/>
        <w:jc w:val="both"/>
        <w:rPr>
          <w:rFonts w:cs="David"/>
          <w:sz w:val="24"/>
          <w:szCs w:val="24"/>
        </w:rPr>
      </w:pPr>
    </w:p>
    <w:p w:rsidR="000B74E6" w:rsidRDefault="000B74E6" w:rsidP="000B74E6">
      <w:pPr>
        <w:pStyle w:val="ad"/>
        <w:numPr>
          <w:ilvl w:val="0"/>
          <w:numId w:val="1"/>
        </w:numPr>
        <w:spacing w:after="0" w:line="360" w:lineRule="auto"/>
        <w:ind w:left="340" w:hanging="510"/>
        <w:jc w:val="both"/>
        <w:rPr>
          <w:rFonts w:cs="David"/>
          <w:sz w:val="24"/>
          <w:szCs w:val="24"/>
        </w:rPr>
      </w:pPr>
      <w:r>
        <w:rPr>
          <w:rFonts w:cs="David"/>
          <w:sz w:val="24"/>
          <w:szCs w:val="24"/>
          <w:rtl/>
        </w:rPr>
        <w:t>ניתן להגיש נגד רשות תביעה ייצוגית בגין הפרת הוראות חוק השוויון, וזאת בהתאם לפרט 9 בתוספת השנייה לחוק תובענות ייצוגיות.</w:t>
      </w:r>
    </w:p>
    <w:p w:rsidR="000B74E6" w:rsidRDefault="000B74E6" w:rsidP="000B74E6">
      <w:pPr>
        <w:spacing w:line="360" w:lineRule="auto"/>
        <w:ind w:hanging="510"/>
        <w:jc w:val="both"/>
      </w:pPr>
    </w:p>
    <w:p w:rsidR="000B74E6" w:rsidRDefault="000B74E6" w:rsidP="000B74E6">
      <w:pPr>
        <w:pStyle w:val="ad"/>
        <w:spacing w:after="0" w:line="360" w:lineRule="auto"/>
        <w:ind w:left="340" w:hanging="510"/>
        <w:jc w:val="both"/>
        <w:rPr>
          <w:rFonts w:cs="David"/>
          <w:b/>
          <w:bCs/>
          <w:sz w:val="24"/>
          <w:szCs w:val="24"/>
          <w:u w:val="single"/>
          <w:rtl/>
        </w:rPr>
      </w:pPr>
      <w:r>
        <w:rPr>
          <w:rFonts w:cs="David"/>
          <w:b/>
          <w:bCs/>
          <w:sz w:val="24"/>
          <w:szCs w:val="24"/>
          <w:u w:val="single"/>
          <w:rtl/>
        </w:rPr>
        <w:t>טענות המוסד בתשובתו לתגובה לבקשה</w:t>
      </w:r>
    </w:p>
    <w:p w:rsidR="000B74E6" w:rsidRDefault="000B74E6" w:rsidP="000B74E6">
      <w:pPr>
        <w:pStyle w:val="ad"/>
        <w:spacing w:after="0" w:line="360" w:lineRule="auto"/>
        <w:ind w:left="340"/>
        <w:jc w:val="both"/>
        <w:rPr>
          <w:rFonts w:cs="David"/>
          <w:sz w:val="24"/>
          <w:szCs w:val="24"/>
        </w:rPr>
      </w:pPr>
    </w:p>
    <w:p w:rsidR="000B74E6" w:rsidRDefault="000B74E6" w:rsidP="000B74E6">
      <w:pPr>
        <w:pStyle w:val="ad"/>
        <w:numPr>
          <w:ilvl w:val="0"/>
          <w:numId w:val="1"/>
        </w:numPr>
        <w:spacing w:after="0" w:line="360" w:lineRule="auto"/>
        <w:ind w:left="340" w:hanging="510"/>
        <w:jc w:val="both"/>
        <w:rPr>
          <w:rFonts w:cs="David"/>
          <w:sz w:val="24"/>
          <w:szCs w:val="24"/>
        </w:rPr>
      </w:pPr>
      <w:r>
        <w:rPr>
          <w:rFonts w:cs="David"/>
          <w:sz w:val="24"/>
          <w:szCs w:val="24"/>
          <w:rtl/>
        </w:rPr>
        <w:t>טענות המבקשת השתנו בתשובתה, לעומת טענותיה בבקשת האישור. עתה היא טוענת למחדל של המשיב, אשר יש לו אחריות לוודא כי נשמרות זכויותיהם של המבוטחים הנבדקים על ידי הוועדה הרפואית.</w:t>
      </w:r>
    </w:p>
    <w:p w:rsidR="000B74E6" w:rsidRDefault="000B74E6" w:rsidP="000B74E6">
      <w:pPr>
        <w:pStyle w:val="ad"/>
        <w:spacing w:after="0" w:line="360" w:lineRule="auto"/>
        <w:ind w:left="340"/>
        <w:jc w:val="both"/>
        <w:rPr>
          <w:rFonts w:cs="David"/>
          <w:sz w:val="24"/>
          <w:szCs w:val="24"/>
        </w:rPr>
      </w:pPr>
    </w:p>
    <w:p w:rsidR="000B74E6" w:rsidRDefault="000B74E6" w:rsidP="000B74E6">
      <w:pPr>
        <w:pStyle w:val="ad"/>
        <w:numPr>
          <w:ilvl w:val="0"/>
          <w:numId w:val="1"/>
        </w:numPr>
        <w:spacing w:after="0" w:line="360" w:lineRule="auto"/>
        <w:ind w:left="340" w:hanging="510"/>
        <w:jc w:val="both"/>
        <w:rPr>
          <w:rFonts w:cs="David"/>
          <w:sz w:val="24"/>
          <w:szCs w:val="24"/>
        </w:rPr>
      </w:pPr>
      <w:r>
        <w:rPr>
          <w:rFonts w:cs="David"/>
          <w:sz w:val="24"/>
          <w:szCs w:val="24"/>
          <w:rtl/>
        </w:rPr>
        <w:t xml:space="preserve">הוועדה לערעורים היא גורם חיצוני שאינו חלק מהמשיב והיא אינה כפופה לו. המבקשת אינה מציגה מקור חוקי המטיל על המשיב אחריות נזיקית ישירה בגין החלטות הוועדות הרפואיות או המעניק לו סמכות להורות לוועדות כיצד לפעול, בעוד שעל פי הפסיקה אסור למשיב להתערב בהחלטות הוועדות ולהנחותן. </w:t>
      </w:r>
    </w:p>
    <w:p w:rsidR="000B74E6" w:rsidRDefault="000B74E6" w:rsidP="000B74E6">
      <w:pPr>
        <w:pStyle w:val="ad"/>
        <w:spacing w:after="0" w:line="360" w:lineRule="auto"/>
        <w:ind w:left="340"/>
        <w:jc w:val="both"/>
        <w:rPr>
          <w:rFonts w:cs="David"/>
          <w:sz w:val="24"/>
          <w:szCs w:val="24"/>
        </w:rPr>
      </w:pPr>
    </w:p>
    <w:p w:rsidR="000B74E6" w:rsidRDefault="000B74E6" w:rsidP="000B74E6">
      <w:pPr>
        <w:pStyle w:val="ad"/>
        <w:numPr>
          <w:ilvl w:val="0"/>
          <w:numId w:val="1"/>
        </w:numPr>
        <w:spacing w:after="0" w:line="360" w:lineRule="auto"/>
        <w:ind w:left="340" w:hanging="510"/>
        <w:jc w:val="both"/>
        <w:rPr>
          <w:rFonts w:cs="David"/>
          <w:sz w:val="24"/>
          <w:szCs w:val="24"/>
        </w:rPr>
      </w:pPr>
      <w:r>
        <w:rPr>
          <w:rFonts w:cs="David"/>
          <w:sz w:val="24"/>
          <w:szCs w:val="24"/>
          <w:rtl/>
        </w:rPr>
        <w:t xml:space="preserve">המשיב אינו הוועדה לערעורים והוא בעל סמכויות שונות מהסמכויות המוקנות לוועדה. ההקפדה על אי תלותן של הוועדות חיונית למילוי תפקידן וייעודן. </w:t>
      </w:r>
    </w:p>
    <w:p w:rsidR="000B74E6" w:rsidRDefault="000B74E6" w:rsidP="000B74E6">
      <w:pPr>
        <w:pStyle w:val="ad"/>
        <w:spacing w:after="0" w:line="360" w:lineRule="auto"/>
        <w:ind w:left="340"/>
        <w:jc w:val="both"/>
        <w:rPr>
          <w:rFonts w:cs="David"/>
          <w:sz w:val="24"/>
          <w:szCs w:val="24"/>
        </w:rPr>
      </w:pPr>
    </w:p>
    <w:p w:rsidR="000B74E6" w:rsidRDefault="000B74E6" w:rsidP="000B74E6">
      <w:pPr>
        <w:pStyle w:val="ad"/>
        <w:numPr>
          <w:ilvl w:val="0"/>
          <w:numId w:val="1"/>
        </w:numPr>
        <w:spacing w:after="0" w:line="360" w:lineRule="auto"/>
        <w:ind w:left="340" w:hanging="510"/>
        <w:jc w:val="both"/>
        <w:rPr>
          <w:rFonts w:cs="David"/>
          <w:sz w:val="24"/>
          <w:szCs w:val="24"/>
        </w:rPr>
      </w:pPr>
      <w:r>
        <w:rPr>
          <w:rFonts w:cs="David"/>
          <w:sz w:val="24"/>
          <w:szCs w:val="24"/>
          <w:rtl/>
        </w:rPr>
        <w:t xml:space="preserve">המשיב אחראי על הצד הפרוצדורלי של הפעלת הוועדות כיוון שחלק מהן מתקיימות </w:t>
      </w:r>
      <w:proofErr w:type="spellStart"/>
      <w:r>
        <w:rPr>
          <w:rFonts w:cs="David"/>
          <w:sz w:val="24"/>
          <w:szCs w:val="24"/>
          <w:rtl/>
        </w:rPr>
        <w:t>בחצריו</w:t>
      </w:r>
      <w:proofErr w:type="spellEnd"/>
      <w:r>
        <w:rPr>
          <w:rFonts w:cs="David"/>
          <w:sz w:val="24"/>
          <w:szCs w:val="24"/>
          <w:rtl/>
        </w:rPr>
        <w:t>.</w:t>
      </w:r>
    </w:p>
    <w:p w:rsidR="000B74E6" w:rsidRDefault="000B74E6" w:rsidP="000B74E6">
      <w:pPr>
        <w:pStyle w:val="ad"/>
        <w:spacing w:after="0" w:line="360" w:lineRule="auto"/>
        <w:ind w:left="340"/>
        <w:jc w:val="both"/>
        <w:rPr>
          <w:rFonts w:cs="David"/>
          <w:sz w:val="24"/>
          <w:szCs w:val="24"/>
        </w:rPr>
      </w:pPr>
    </w:p>
    <w:p w:rsidR="000B74E6" w:rsidRDefault="000B74E6" w:rsidP="000B74E6">
      <w:pPr>
        <w:pStyle w:val="ad"/>
        <w:numPr>
          <w:ilvl w:val="0"/>
          <w:numId w:val="1"/>
        </w:numPr>
        <w:spacing w:after="0" w:line="360" w:lineRule="auto"/>
        <w:ind w:left="340" w:hanging="510"/>
        <w:jc w:val="both"/>
        <w:rPr>
          <w:rFonts w:cs="David"/>
          <w:sz w:val="24"/>
          <w:szCs w:val="24"/>
        </w:rPr>
      </w:pPr>
      <w:r>
        <w:rPr>
          <w:rFonts w:cs="David"/>
          <w:sz w:val="24"/>
          <w:szCs w:val="24"/>
          <w:rtl/>
        </w:rPr>
        <w:t>אשר לטענת המבקשת בנוגע לחוזר המופנה למזכירי הישיבות, הוא אכן מופנה למזכיר הישיבה ולא לוועדה. תפקיד מזכיר הישיבה הינו מנהלי שכן המזכיר אינו חלק מהוועדה הרפואית ואינו נמנה על חבריה. למזכיר אין כל אחריות בנוגע לנוכחות מלווה בעת בדיקה על ידי הוועדה.</w:t>
      </w:r>
    </w:p>
    <w:p w:rsidR="000B74E6" w:rsidRDefault="000B74E6" w:rsidP="000B74E6">
      <w:pPr>
        <w:pStyle w:val="ad"/>
        <w:spacing w:after="0" w:line="360" w:lineRule="auto"/>
        <w:ind w:left="340"/>
        <w:jc w:val="both"/>
        <w:rPr>
          <w:rFonts w:cs="David"/>
          <w:sz w:val="24"/>
          <w:szCs w:val="24"/>
        </w:rPr>
      </w:pPr>
    </w:p>
    <w:p w:rsidR="000B74E6" w:rsidRDefault="000B74E6" w:rsidP="000B74E6">
      <w:pPr>
        <w:pStyle w:val="ad"/>
        <w:numPr>
          <w:ilvl w:val="0"/>
          <w:numId w:val="1"/>
        </w:numPr>
        <w:spacing w:after="0" w:line="360" w:lineRule="auto"/>
        <w:ind w:left="340" w:hanging="510"/>
        <w:jc w:val="both"/>
        <w:rPr>
          <w:rFonts w:cs="David"/>
          <w:sz w:val="24"/>
          <w:szCs w:val="24"/>
        </w:rPr>
      </w:pPr>
      <w:r>
        <w:rPr>
          <w:rFonts w:cs="David"/>
          <w:sz w:val="24"/>
          <w:szCs w:val="24"/>
          <w:rtl/>
        </w:rPr>
        <w:t xml:space="preserve">יש הבדל בין דאגה לצד הפרוצדורלי של הפעלת הוועדות, ובכלל זה שמירה על קיום החוק, לבין הנחיית הוועדות תוך התערבות בשיקול דעתן הרפואי. התערבות זו אסורה והינה בגדר טעות משפטית ויש בה לחשוף את המשיב לערעורים ותביעות של מבוטחים. </w:t>
      </w:r>
    </w:p>
    <w:p w:rsidR="000B74E6" w:rsidRDefault="000B74E6" w:rsidP="000B74E6">
      <w:pPr>
        <w:pStyle w:val="ad"/>
        <w:spacing w:after="0" w:line="360" w:lineRule="auto"/>
        <w:ind w:left="340"/>
        <w:jc w:val="both"/>
        <w:rPr>
          <w:rFonts w:cs="David"/>
          <w:sz w:val="24"/>
          <w:szCs w:val="24"/>
        </w:rPr>
      </w:pPr>
    </w:p>
    <w:p w:rsidR="000B74E6" w:rsidRDefault="000B74E6" w:rsidP="000B74E6">
      <w:pPr>
        <w:pStyle w:val="ad"/>
        <w:numPr>
          <w:ilvl w:val="0"/>
          <w:numId w:val="1"/>
        </w:numPr>
        <w:spacing w:after="0" w:line="360" w:lineRule="auto"/>
        <w:ind w:left="340" w:hanging="510"/>
        <w:jc w:val="both"/>
        <w:rPr>
          <w:rFonts w:cs="David"/>
          <w:sz w:val="24"/>
          <w:szCs w:val="24"/>
        </w:rPr>
      </w:pPr>
      <w:r>
        <w:rPr>
          <w:rFonts w:cs="David"/>
          <w:sz w:val="24"/>
          <w:szCs w:val="24"/>
          <w:rtl/>
        </w:rPr>
        <w:t>הוועדות הרפואיות אינן גורמים מנהליים אלא גורמים מעין שיפוטיים מובהקים, והן חסינות בפני תביעת נזיקין ברשלנות.</w:t>
      </w:r>
    </w:p>
    <w:p w:rsidR="000B74E6" w:rsidRDefault="000B74E6" w:rsidP="000B74E6">
      <w:pPr>
        <w:spacing w:line="360" w:lineRule="auto"/>
        <w:ind w:hanging="510"/>
        <w:jc w:val="both"/>
        <w:rPr>
          <w:rFonts w:ascii="David" w:hAnsi="David"/>
          <w:b/>
          <w:bCs/>
        </w:rPr>
      </w:pPr>
    </w:p>
    <w:p w:rsidR="000B74E6" w:rsidRDefault="000B74E6" w:rsidP="000B74E6">
      <w:pPr>
        <w:spacing w:line="360" w:lineRule="auto"/>
        <w:ind w:hanging="170"/>
        <w:jc w:val="both"/>
        <w:rPr>
          <w:rFonts w:ascii="David" w:hAnsi="David"/>
          <w:b/>
          <w:bCs/>
          <w:rtl/>
        </w:rPr>
      </w:pPr>
      <w:r>
        <w:rPr>
          <w:rFonts w:ascii="David" w:hAnsi="David"/>
          <w:b/>
          <w:bCs/>
          <w:sz w:val="28"/>
          <w:szCs w:val="28"/>
          <w:u w:val="single"/>
          <w:rtl/>
        </w:rPr>
        <w:t>עמדת היועץ המשפטי לממשלה</w:t>
      </w:r>
      <w:r>
        <w:rPr>
          <w:rFonts w:ascii="David" w:hAnsi="David"/>
          <w:b/>
          <w:bCs/>
          <w:rtl/>
        </w:rPr>
        <w:t xml:space="preserve"> </w:t>
      </w:r>
    </w:p>
    <w:p w:rsidR="000B74E6" w:rsidRDefault="000B74E6" w:rsidP="000B74E6">
      <w:pPr>
        <w:pStyle w:val="ad"/>
        <w:spacing w:after="0" w:line="360" w:lineRule="auto"/>
        <w:ind w:left="340" w:hanging="510"/>
        <w:jc w:val="both"/>
        <w:rPr>
          <w:rFonts w:cs="David"/>
          <w:sz w:val="24"/>
          <w:szCs w:val="24"/>
          <w:highlight w:val="cyan"/>
          <w:rtl/>
        </w:rPr>
      </w:pPr>
    </w:p>
    <w:p w:rsidR="000B74E6" w:rsidRDefault="000B74E6" w:rsidP="000B74E6">
      <w:pPr>
        <w:pStyle w:val="ad"/>
        <w:numPr>
          <w:ilvl w:val="0"/>
          <w:numId w:val="1"/>
        </w:numPr>
        <w:spacing w:after="0" w:line="360" w:lineRule="auto"/>
        <w:ind w:left="340" w:hanging="510"/>
        <w:jc w:val="both"/>
        <w:rPr>
          <w:rFonts w:cs="David"/>
          <w:sz w:val="24"/>
          <w:szCs w:val="24"/>
        </w:rPr>
      </w:pPr>
      <w:r>
        <w:rPr>
          <w:rFonts w:cs="David"/>
          <w:sz w:val="24"/>
          <w:szCs w:val="24"/>
          <w:rtl/>
        </w:rPr>
        <w:t xml:space="preserve">עמדת היועמ"ש התייחסה </w:t>
      </w:r>
      <w:r>
        <w:rPr>
          <w:rFonts w:cs="David"/>
          <w:b/>
          <w:bCs/>
          <w:sz w:val="24"/>
          <w:szCs w:val="24"/>
          <w:rtl/>
        </w:rPr>
        <w:t>רק לוועדה לערעורים</w:t>
      </w:r>
      <w:r>
        <w:rPr>
          <w:rFonts w:cs="David"/>
          <w:sz w:val="24"/>
          <w:szCs w:val="24"/>
          <w:rtl/>
        </w:rPr>
        <w:t>.</w:t>
      </w:r>
    </w:p>
    <w:p w:rsidR="000B74E6" w:rsidRDefault="000B74E6" w:rsidP="000B74E6">
      <w:pPr>
        <w:pStyle w:val="ad"/>
        <w:spacing w:after="0" w:line="360" w:lineRule="auto"/>
        <w:ind w:left="340"/>
        <w:jc w:val="both"/>
        <w:rPr>
          <w:rFonts w:cs="David"/>
          <w:sz w:val="24"/>
          <w:szCs w:val="24"/>
        </w:rPr>
      </w:pPr>
    </w:p>
    <w:p w:rsidR="000B74E6" w:rsidRDefault="000B74E6" w:rsidP="000B74E6">
      <w:pPr>
        <w:pStyle w:val="ad"/>
        <w:numPr>
          <w:ilvl w:val="0"/>
          <w:numId w:val="1"/>
        </w:numPr>
        <w:spacing w:after="0" w:line="360" w:lineRule="auto"/>
        <w:ind w:left="340" w:hanging="510"/>
        <w:jc w:val="both"/>
        <w:rPr>
          <w:rFonts w:cs="David"/>
          <w:sz w:val="24"/>
          <w:szCs w:val="24"/>
        </w:rPr>
      </w:pPr>
      <w:r>
        <w:rPr>
          <w:rFonts w:cs="David"/>
          <w:sz w:val="24"/>
          <w:szCs w:val="24"/>
          <w:rtl/>
        </w:rPr>
        <w:t xml:space="preserve">הוועדה לערעורים היא גוף מעין שיפוטי, עצמאי, ניטרלי ובלתי תלוי המחויב לשיקול דעת עצמאי. הוועדה חבה חובת נאמנות לחוק הביטוח הלאומי </w:t>
      </w:r>
      <w:r>
        <w:rPr>
          <w:rFonts w:ascii="David" w:hAnsi="David" w:cs="David"/>
          <w:sz w:val="24"/>
          <w:szCs w:val="24"/>
          <w:rtl/>
        </w:rPr>
        <w:t>[נוסח משולב], התשנ"ה-1995</w:t>
      </w:r>
      <w:r>
        <w:rPr>
          <w:rFonts w:cs="David"/>
          <w:sz w:val="24"/>
          <w:szCs w:val="24"/>
          <w:rtl/>
        </w:rPr>
        <w:t xml:space="preserve"> (להלן: "</w:t>
      </w:r>
      <w:r>
        <w:rPr>
          <w:rFonts w:cs="David"/>
          <w:b/>
          <w:bCs/>
          <w:sz w:val="24"/>
          <w:szCs w:val="24"/>
          <w:rtl/>
        </w:rPr>
        <w:t>חוק הביטוח הלאומי</w:t>
      </w:r>
      <w:r>
        <w:rPr>
          <w:rFonts w:cs="David"/>
          <w:sz w:val="24"/>
          <w:szCs w:val="24"/>
          <w:rtl/>
        </w:rPr>
        <w:t xml:space="preserve">") ולציבור וחובתה לפסוק בשאלות הרפואיות המובאות לפניה. חברי הוועדה אינם כפופים מקצועית למשיב או לגורם אחר, הם אינם עובדי המשיב, אלא מכהנים בתפקידם על פי מינוי של שר הרווחה. הם אינם סרים למרותו או להנחייתו של המשיב. </w:t>
      </w:r>
    </w:p>
    <w:p w:rsidR="000B74E6" w:rsidRDefault="000B74E6" w:rsidP="000B74E6">
      <w:pPr>
        <w:pStyle w:val="ad"/>
        <w:spacing w:after="0" w:line="360" w:lineRule="auto"/>
        <w:ind w:left="340"/>
        <w:jc w:val="both"/>
        <w:rPr>
          <w:rFonts w:cs="David"/>
          <w:sz w:val="24"/>
          <w:szCs w:val="24"/>
        </w:rPr>
      </w:pPr>
    </w:p>
    <w:p w:rsidR="000B74E6" w:rsidRDefault="000B74E6" w:rsidP="000B74E6">
      <w:pPr>
        <w:pStyle w:val="ad"/>
        <w:numPr>
          <w:ilvl w:val="0"/>
          <w:numId w:val="1"/>
        </w:numPr>
        <w:spacing w:after="0" w:line="360" w:lineRule="auto"/>
        <w:ind w:left="340" w:hanging="510"/>
        <w:jc w:val="both"/>
        <w:rPr>
          <w:rFonts w:cs="David"/>
          <w:sz w:val="24"/>
          <w:szCs w:val="24"/>
        </w:rPr>
      </w:pPr>
      <w:r>
        <w:rPr>
          <w:rFonts w:cs="David"/>
          <w:sz w:val="24"/>
          <w:szCs w:val="24"/>
          <w:rtl/>
        </w:rPr>
        <w:t>על הוועדה לערעורים חלים כללי המשפט המנהלי ועקרונות הצדק הטבעי.</w:t>
      </w:r>
    </w:p>
    <w:p w:rsidR="000B74E6" w:rsidRDefault="000B74E6" w:rsidP="000B74E6">
      <w:pPr>
        <w:pStyle w:val="ad"/>
        <w:spacing w:after="0" w:line="360" w:lineRule="auto"/>
        <w:ind w:left="340"/>
        <w:jc w:val="both"/>
        <w:rPr>
          <w:rFonts w:cs="David"/>
          <w:sz w:val="24"/>
          <w:szCs w:val="24"/>
        </w:rPr>
      </w:pPr>
    </w:p>
    <w:p w:rsidR="000B74E6" w:rsidRDefault="000B74E6" w:rsidP="000B74E6">
      <w:pPr>
        <w:pStyle w:val="ad"/>
        <w:numPr>
          <w:ilvl w:val="0"/>
          <w:numId w:val="1"/>
        </w:numPr>
        <w:spacing w:after="0" w:line="360" w:lineRule="auto"/>
        <w:ind w:left="340" w:hanging="510"/>
        <w:jc w:val="both"/>
        <w:rPr>
          <w:rFonts w:cs="David"/>
          <w:sz w:val="24"/>
          <w:szCs w:val="24"/>
        </w:rPr>
      </w:pPr>
      <w:r>
        <w:rPr>
          <w:rFonts w:cs="David"/>
          <w:sz w:val="24"/>
          <w:szCs w:val="24"/>
          <w:rtl/>
        </w:rPr>
        <w:t xml:space="preserve">הוועדה לערעורים היא גם טריבונל רפואי-מקצועי, שתפקידו לאסוף ממצאים ולקבוע על פיהם דרגת נכות לנפגעי עבודה, בהתאם לסמכויות רחבות שניתנו לה בדין. ההליך בפני הוועדה אינו אדברסרי לחלוטין, ויכול ללבוש גם אופי </w:t>
      </w:r>
      <w:proofErr w:type="spellStart"/>
      <w:r>
        <w:rPr>
          <w:rFonts w:cs="David"/>
          <w:sz w:val="24"/>
          <w:szCs w:val="24"/>
          <w:rtl/>
        </w:rPr>
        <w:t>אינקוויזטורי</w:t>
      </w:r>
      <w:proofErr w:type="spellEnd"/>
      <w:r>
        <w:rPr>
          <w:rFonts w:cs="David"/>
          <w:sz w:val="24"/>
          <w:szCs w:val="24"/>
          <w:rtl/>
        </w:rPr>
        <w:t>.</w:t>
      </w:r>
    </w:p>
    <w:p w:rsidR="000B74E6" w:rsidRDefault="000B74E6" w:rsidP="000B74E6">
      <w:pPr>
        <w:pStyle w:val="ad"/>
        <w:spacing w:after="0" w:line="360" w:lineRule="auto"/>
        <w:ind w:left="340"/>
        <w:jc w:val="both"/>
        <w:rPr>
          <w:rFonts w:cs="David"/>
          <w:sz w:val="24"/>
          <w:szCs w:val="24"/>
        </w:rPr>
      </w:pPr>
    </w:p>
    <w:p w:rsidR="000B74E6" w:rsidRDefault="000B74E6" w:rsidP="000B74E6">
      <w:pPr>
        <w:pStyle w:val="ad"/>
        <w:numPr>
          <w:ilvl w:val="0"/>
          <w:numId w:val="1"/>
        </w:numPr>
        <w:spacing w:after="0" w:line="360" w:lineRule="auto"/>
        <w:ind w:left="340" w:hanging="510"/>
        <w:jc w:val="both"/>
        <w:rPr>
          <w:rFonts w:cs="David"/>
          <w:sz w:val="24"/>
          <w:szCs w:val="24"/>
        </w:rPr>
      </w:pPr>
      <w:r>
        <w:rPr>
          <w:rFonts w:cs="David"/>
          <w:sz w:val="24"/>
          <w:szCs w:val="24"/>
          <w:rtl/>
        </w:rPr>
        <w:t>בהתאם לפסיקה, תקנה 9 לתקנות הביטוח הלאומי (קביעת דרגת נכות לנפגעי עבודה) התשט"ז-1956 (להלן: "</w:t>
      </w:r>
      <w:r>
        <w:rPr>
          <w:rFonts w:cs="David"/>
          <w:b/>
          <w:bCs/>
          <w:sz w:val="24"/>
          <w:szCs w:val="24"/>
          <w:rtl/>
        </w:rPr>
        <w:t>התקנות</w:t>
      </w:r>
      <w:r>
        <w:rPr>
          <w:rFonts w:cs="David"/>
          <w:sz w:val="24"/>
          <w:szCs w:val="24"/>
          <w:rtl/>
        </w:rPr>
        <w:t xml:space="preserve">"), הקובעת כי הוועדה תבדוק את הנפגע ביחידות, אך רשאית להתיר לזולת להיות נוכח בעת הבדיקה, נועדה למנוע נוכחות זרים בבדיקה בפני הוועדות הרפואיות, על מנת להבטיח את צנעת הפרט וכבוד הנבדק. נוכח כך, ונוכח הוראות חוק השוויון, האוסר הפליית אדם בשל מוגבלותו, ברירת המחדל היא עריכת הבדיקה בנוכחות מלווה, לרבות בבדיקה פסיכיאטרית. במקרים חריגים המצדיקים זאת (כגון במקרה בו המלווה מפריע לביצוע הבדיקה), יכולה הוועדה להגביל את נוכחות המלווה או להוציאו, אך על חברי הוועדה לציין את החלטתם בפרוטוקול הדיון ולנמקה, כפועל יוצא מתפקידה </w:t>
      </w:r>
      <w:proofErr w:type="spellStart"/>
      <w:r>
        <w:rPr>
          <w:rFonts w:cs="David"/>
          <w:sz w:val="24"/>
          <w:szCs w:val="24"/>
          <w:rtl/>
        </w:rPr>
        <w:t>המעין</w:t>
      </w:r>
      <w:proofErr w:type="spellEnd"/>
      <w:r>
        <w:rPr>
          <w:rFonts w:cs="David"/>
          <w:sz w:val="24"/>
          <w:szCs w:val="24"/>
          <w:rtl/>
        </w:rPr>
        <w:t xml:space="preserve"> שיפוטי, כפיפותה לכללי הצדק הטבעי, ומזכויות היסוד העומדות למבוטח הנבדק.</w:t>
      </w:r>
    </w:p>
    <w:p w:rsidR="000B74E6" w:rsidRDefault="000B74E6" w:rsidP="000B74E6">
      <w:pPr>
        <w:pStyle w:val="ad"/>
        <w:spacing w:after="0" w:line="360" w:lineRule="auto"/>
        <w:ind w:left="340"/>
        <w:jc w:val="both"/>
        <w:rPr>
          <w:rFonts w:cs="David"/>
          <w:sz w:val="24"/>
          <w:szCs w:val="24"/>
        </w:rPr>
      </w:pPr>
    </w:p>
    <w:p w:rsidR="000B74E6" w:rsidRDefault="000B74E6" w:rsidP="000B74E6">
      <w:pPr>
        <w:pStyle w:val="ad"/>
        <w:numPr>
          <w:ilvl w:val="0"/>
          <w:numId w:val="1"/>
        </w:numPr>
        <w:spacing w:after="0" w:line="360" w:lineRule="auto"/>
        <w:ind w:left="340" w:hanging="510"/>
        <w:jc w:val="both"/>
        <w:rPr>
          <w:rFonts w:cs="David"/>
          <w:sz w:val="24"/>
          <w:szCs w:val="24"/>
        </w:rPr>
      </w:pPr>
      <w:r>
        <w:rPr>
          <w:rFonts w:cs="David"/>
          <w:sz w:val="24"/>
          <w:szCs w:val="24"/>
          <w:rtl/>
        </w:rPr>
        <w:t xml:space="preserve">החסינות הקיימת לפי סעיף 8 לפקודת </w:t>
      </w:r>
      <w:proofErr w:type="spellStart"/>
      <w:r>
        <w:rPr>
          <w:rFonts w:cs="David"/>
          <w:sz w:val="24"/>
          <w:szCs w:val="24"/>
          <w:rtl/>
        </w:rPr>
        <w:t>הנזיקין</w:t>
      </w:r>
      <w:proofErr w:type="spellEnd"/>
      <w:r>
        <w:rPr>
          <w:rFonts w:cs="David"/>
          <w:sz w:val="24"/>
          <w:szCs w:val="24"/>
          <w:rtl/>
        </w:rPr>
        <w:t xml:space="preserve"> למי שמבצע פעולות שיפוט היא חסינות מהותית, כפי שנקבע </w:t>
      </w:r>
      <w:proofErr w:type="spellStart"/>
      <w:r>
        <w:rPr>
          <w:rFonts w:cs="David"/>
          <w:sz w:val="24"/>
          <w:szCs w:val="24"/>
          <w:rtl/>
        </w:rPr>
        <w:t>ברע"א</w:t>
      </w:r>
      <w:proofErr w:type="spellEnd"/>
      <w:r>
        <w:rPr>
          <w:rFonts w:cs="David"/>
          <w:sz w:val="24"/>
          <w:szCs w:val="24"/>
          <w:rtl/>
        </w:rPr>
        <w:t xml:space="preserve"> 3359/18 </w:t>
      </w:r>
      <w:r>
        <w:rPr>
          <w:rFonts w:cs="David"/>
          <w:b/>
          <w:bCs/>
          <w:sz w:val="24"/>
          <w:szCs w:val="24"/>
          <w:rtl/>
        </w:rPr>
        <w:t xml:space="preserve">מדינת ישראל נ' עלי אדם </w:t>
      </w:r>
      <w:r>
        <w:rPr>
          <w:rFonts w:cs="David"/>
          <w:sz w:val="24"/>
          <w:szCs w:val="24"/>
          <w:rtl/>
        </w:rPr>
        <w:t xml:space="preserve">(2.9.18) (להלן: </w:t>
      </w:r>
      <w:r>
        <w:rPr>
          <w:rFonts w:cs="David"/>
          <w:b/>
          <w:bCs/>
          <w:sz w:val="24"/>
          <w:szCs w:val="24"/>
          <w:rtl/>
        </w:rPr>
        <w:t>"עניין עלי אדם"</w:t>
      </w:r>
      <w:r>
        <w:rPr>
          <w:rFonts w:cs="David"/>
          <w:sz w:val="24"/>
          <w:szCs w:val="24"/>
          <w:rtl/>
        </w:rPr>
        <w:t>)</w:t>
      </w:r>
      <w:r>
        <w:rPr>
          <w:rFonts w:cs="David"/>
          <w:b/>
          <w:bCs/>
          <w:sz w:val="24"/>
          <w:szCs w:val="24"/>
          <w:rtl/>
        </w:rPr>
        <w:t xml:space="preserve">. </w:t>
      </w:r>
    </w:p>
    <w:p w:rsidR="000B74E6" w:rsidRDefault="000B74E6" w:rsidP="000B74E6">
      <w:pPr>
        <w:pStyle w:val="ad"/>
        <w:spacing w:after="0" w:line="360" w:lineRule="auto"/>
        <w:ind w:left="340"/>
        <w:jc w:val="both"/>
        <w:rPr>
          <w:rFonts w:cs="David"/>
          <w:sz w:val="24"/>
          <w:szCs w:val="24"/>
        </w:rPr>
      </w:pPr>
    </w:p>
    <w:p w:rsidR="000B74E6" w:rsidRDefault="000B74E6" w:rsidP="000B74E6">
      <w:pPr>
        <w:pStyle w:val="ad"/>
        <w:numPr>
          <w:ilvl w:val="0"/>
          <w:numId w:val="1"/>
        </w:numPr>
        <w:spacing w:after="0" w:line="360" w:lineRule="auto"/>
        <w:ind w:left="340" w:hanging="510"/>
        <w:jc w:val="both"/>
        <w:rPr>
          <w:rFonts w:cs="David"/>
          <w:sz w:val="24"/>
          <w:szCs w:val="24"/>
          <w:rtl/>
        </w:rPr>
      </w:pPr>
      <w:r>
        <w:rPr>
          <w:rFonts w:cs="David"/>
          <w:sz w:val="24"/>
          <w:szCs w:val="24"/>
          <w:rtl/>
        </w:rPr>
        <w:t xml:space="preserve">הוועדה הרפואית לערעורים מקיימת הליך מעין שיפוטי, מעצם תפקידה כמכריעה במחלוקות ובנושאים רפואיים-מקצועיים שבתחום סמכותה, בין המשיב לבין המבוטחים, תוך הפעלת ביקורת שיפוטית רחבה על החלטת הוועדה הרפואית מהדרג הראשון. תפקידה עולה לכדי "פעולת שיפוט" בהליך שהוא "דמוי משפט". בוועדה מתקיימות גם התכליות של החסינות השיפוטית עליהן עמד בהרחבה בית המשפט העליון בעניין </w:t>
      </w:r>
      <w:r>
        <w:rPr>
          <w:rFonts w:cs="David"/>
          <w:b/>
          <w:bCs/>
          <w:sz w:val="24"/>
          <w:szCs w:val="24"/>
          <w:rtl/>
        </w:rPr>
        <w:t>עלי אדם</w:t>
      </w:r>
      <w:r>
        <w:rPr>
          <w:rFonts w:cs="David"/>
          <w:sz w:val="24"/>
          <w:szCs w:val="24"/>
          <w:rtl/>
        </w:rPr>
        <w:t xml:space="preserve">. </w:t>
      </w:r>
    </w:p>
    <w:p w:rsidR="000B74E6" w:rsidRDefault="000B74E6" w:rsidP="000B74E6">
      <w:pPr>
        <w:pStyle w:val="ad"/>
        <w:spacing w:after="0" w:line="360" w:lineRule="auto"/>
        <w:ind w:left="340"/>
        <w:jc w:val="both"/>
        <w:rPr>
          <w:rFonts w:cs="David"/>
          <w:sz w:val="24"/>
          <w:szCs w:val="24"/>
          <w:rtl/>
        </w:rPr>
      </w:pPr>
      <w:r>
        <w:rPr>
          <w:rFonts w:cs="David"/>
          <w:sz w:val="24"/>
          <w:szCs w:val="24"/>
          <w:rtl/>
        </w:rPr>
        <w:lastRenderedPageBreak/>
        <w:t xml:space="preserve">קיימת, אפוא, חסינות שיפוטית לוועדה לערעורים בגין פעולותיה, לרבות בעניין החלטתה שלא להתיר נוכחות מלווה בבדיקה נפשית, וזאת מכוח הוראות סעיף 8 לפקודת </w:t>
      </w:r>
      <w:proofErr w:type="spellStart"/>
      <w:r>
        <w:rPr>
          <w:rFonts w:cs="David"/>
          <w:sz w:val="24"/>
          <w:szCs w:val="24"/>
          <w:rtl/>
        </w:rPr>
        <w:t>הנזיקין</w:t>
      </w:r>
      <w:proofErr w:type="spellEnd"/>
      <w:r>
        <w:rPr>
          <w:rFonts w:cs="David"/>
          <w:sz w:val="24"/>
          <w:szCs w:val="24"/>
          <w:rtl/>
        </w:rPr>
        <w:t>.</w:t>
      </w:r>
    </w:p>
    <w:p w:rsidR="000B74E6" w:rsidRDefault="000B74E6" w:rsidP="000B74E6">
      <w:pPr>
        <w:pStyle w:val="ad"/>
        <w:spacing w:after="0" w:line="360" w:lineRule="auto"/>
        <w:ind w:left="340"/>
        <w:jc w:val="both"/>
        <w:rPr>
          <w:rFonts w:cs="David"/>
          <w:sz w:val="24"/>
          <w:szCs w:val="24"/>
          <w:rtl/>
        </w:rPr>
      </w:pPr>
      <w:r>
        <w:rPr>
          <w:rFonts w:cs="David"/>
          <w:sz w:val="24"/>
          <w:szCs w:val="24"/>
          <w:rtl/>
        </w:rPr>
        <w:t>על החלטה זו ניתן לערער לבית הדין האזורי לעבודה, אך לא ניתן להגיש בגינה תביעה נזיקית נפרדת, כפי שנעשה הדבר במסגרת התובענה הייצוגית הנוכחית.</w:t>
      </w:r>
    </w:p>
    <w:p w:rsidR="000B74E6" w:rsidRDefault="000B74E6" w:rsidP="000B74E6">
      <w:pPr>
        <w:pStyle w:val="ad"/>
        <w:spacing w:after="0" w:line="360" w:lineRule="auto"/>
        <w:ind w:left="340"/>
        <w:jc w:val="both"/>
        <w:rPr>
          <w:rFonts w:cs="David"/>
          <w:sz w:val="24"/>
          <w:szCs w:val="24"/>
        </w:rPr>
      </w:pPr>
    </w:p>
    <w:p w:rsidR="000B74E6" w:rsidRDefault="000B74E6" w:rsidP="000B74E6">
      <w:pPr>
        <w:pStyle w:val="ad"/>
        <w:numPr>
          <w:ilvl w:val="0"/>
          <w:numId w:val="1"/>
        </w:numPr>
        <w:spacing w:after="0" w:line="360" w:lineRule="auto"/>
        <w:ind w:left="340" w:hanging="510"/>
        <w:jc w:val="both"/>
        <w:rPr>
          <w:rFonts w:cs="David"/>
          <w:sz w:val="24"/>
          <w:szCs w:val="24"/>
        </w:rPr>
      </w:pPr>
      <w:r>
        <w:rPr>
          <w:rFonts w:cs="David"/>
          <w:sz w:val="24"/>
          <w:szCs w:val="24"/>
          <w:rtl/>
        </w:rPr>
        <w:t xml:space="preserve">משחלה על הוועדות לערעורים חסינות שיפוטית מהותית בגין פעולתן במסגרת מילוי תפקידן השיפוטי, אזי לא קיימת אחריות </w:t>
      </w:r>
      <w:proofErr w:type="spellStart"/>
      <w:r>
        <w:rPr>
          <w:rFonts w:cs="David"/>
          <w:sz w:val="24"/>
          <w:szCs w:val="24"/>
          <w:rtl/>
        </w:rPr>
        <w:t>שילוחית</w:t>
      </w:r>
      <w:proofErr w:type="spellEnd"/>
      <w:r>
        <w:rPr>
          <w:rFonts w:cs="David"/>
          <w:sz w:val="24"/>
          <w:szCs w:val="24"/>
          <w:rtl/>
        </w:rPr>
        <w:t xml:space="preserve"> או ישירה של גוף כלשהו לפעולות אלה, ואין יריבות בין המשיב למבקשת בגין החלטות הוועדה לערעורים, וגם לא בין גוף אחר לבין המבקשת. </w:t>
      </w:r>
    </w:p>
    <w:p w:rsidR="000B74E6" w:rsidRDefault="000B74E6" w:rsidP="000B74E6">
      <w:pPr>
        <w:pStyle w:val="ad"/>
        <w:spacing w:after="0" w:line="360" w:lineRule="auto"/>
        <w:ind w:left="340"/>
        <w:jc w:val="both"/>
        <w:rPr>
          <w:rFonts w:cs="David"/>
          <w:sz w:val="24"/>
          <w:szCs w:val="24"/>
        </w:rPr>
      </w:pPr>
    </w:p>
    <w:p w:rsidR="000B74E6" w:rsidRDefault="000B74E6" w:rsidP="000B74E6">
      <w:pPr>
        <w:pStyle w:val="ad"/>
        <w:numPr>
          <w:ilvl w:val="0"/>
          <w:numId w:val="1"/>
        </w:numPr>
        <w:spacing w:after="0" w:line="360" w:lineRule="auto"/>
        <w:ind w:left="340" w:hanging="510"/>
        <w:jc w:val="both"/>
        <w:rPr>
          <w:rFonts w:cs="David"/>
          <w:sz w:val="24"/>
          <w:szCs w:val="24"/>
        </w:rPr>
      </w:pPr>
      <w:r>
        <w:rPr>
          <w:rFonts w:cs="David"/>
          <w:sz w:val="24"/>
          <w:szCs w:val="24"/>
          <w:rtl/>
        </w:rPr>
        <w:t xml:space="preserve">באשר לטענה בדבר שלטים שנתלו בקירות סניפי המשיב ולפיהם </w:t>
      </w:r>
      <w:r>
        <w:rPr>
          <w:rFonts w:cs="David"/>
          <w:b/>
          <w:bCs/>
          <w:sz w:val="24"/>
          <w:szCs w:val="24"/>
          <w:rtl/>
        </w:rPr>
        <w:t>"כל נבדק רשאי לבקש נוכחות של אדם נוסף בשעת הבדיקה הגופנית למעט בדיקה פסיכיאטרית"</w:t>
      </w:r>
      <w:r>
        <w:rPr>
          <w:rFonts w:cs="David"/>
          <w:sz w:val="24"/>
          <w:szCs w:val="24"/>
          <w:rtl/>
        </w:rPr>
        <w:t xml:space="preserve">, עמדת היועמ"ש היא כי תוכן שלטים אלה נוגד את הוראות הדין הקבועות בחוק השוויון ובתקנות, ועניין הצבתם אינו חוסה תחת החסינות השיפוטית, מכיוון שמדובר בפעולות המיוחסות למשיב, שנעשו במישור המנהלי כנותן שירות, ואינו חלק מהחלטה שיפוטית ומביצוע תפקיד שיפוטי כזה או אחר של מי מחברי הוועדה. מקומן של טענות אלו להתברר בין המבקשת </w:t>
      </w:r>
      <w:proofErr w:type="spellStart"/>
      <w:r>
        <w:rPr>
          <w:rFonts w:cs="David"/>
          <w:sz w:val="24"/>
          <w:szCs w:val="24"/>
          <w:rtl/>
        </w:rPr>
        <w:t>למל"ל</w:t>
      </w:r>
      <w:proofErr w:type="spellEnd"/>
      <w:r>
        <w:rPr>
          <w:rFonts w:cs="David"/>
          <w:sz w:val="24"/>
          <w:szCs w:val="24"/>
          <w:rtl/>
        </w:rPr>
        <w:t xml:space="preserve"> במישרין ובמסגרת המשפטית המתאימה.</w:t>
      </w:r>
    </w:p>
    <w:p w:rsidR="000B74E6" w:rsidRDefault="000B74E6" w:rsidP="000B74E6">
      <w:pPr>
        <w:pStyle w:val="ad"/>
        <w:spacing w:after="0" w:line="360" w:lineRule="auto"/>
        <w:ind w:left="340" w:hanging="510"/>
        <w:jc w:val="both"/>
        <w:rPr>
          <w:rFonts w:cs="David"/>
          <w:sz w:val="24"/>
          <w:szCs w:val="24"/>
        </w:rPr>
      </w:pPr>
    </w:p>
    <w:p w:rsidR="000B74E6" w:rsidRDefault="000B74E6" w:rsidP="000B74E6">
      <w:pPr>
        <w:spacing w:line="360" w:lineRule="auto"/>
        <w:ind w:hanging="170"/>
        <w:jc w:val="both"/>
        <w:rPr>
          <w:b/>
          <w:bCs/>
          <w:u w:val="single"/>
        </w:rPr>
      </w:pPr>
      <w:r>
        <w:rPr>
          <w:b/>
          <w:bCs/>
          <w:sz w:val="28"/>
          <w:szCs w:val="28"/>
          <w:u w:val="single"/>
          <w:rtl/>
        </w:rPr>
        <w:t>ההשתלשלות לאחר הגשת עמדת היועמ"ש</w:t>
      </w:r>
    </w:p>
    <w:p w:rsidR="000B74E6" w:rsidRDefault="000B74E6" w:rsidP="000B74E6">
      <w:pPr>
        <w:pStyle w:val="ad"/>
        <w:spacing w:after="0" w:line="360" w:lineRule="auto"/>
        <w:ind w:left="340" w:hanging="510"/>
        <w:jc w:val="both"/>
        <w:rPr>
          <w:rFonts w:cs="David"/>
          <w:sz w:val="24"/>
          <w:szCs w:val="24"/>
        </w:rPr>
      </w:pPr>
    </w:p>
    <w:p w:rsidR="000B74E6" w:rsidRDefault="000B74E6" w:rsidP="000B74E6">
      <w:pPr>
        <w:pStyle w:val="ad"/>
        <w:numPr>
          <w:ilvl w:val="0"/>
          <w:numId w:val="1"/>
        </w:numPr>
        <w:spacing w:after="0" w:line="360" w:lineRule="auto"/>
        <w:ind w:left="340" w:hanging="510"/>
        <w:jc w:val="both"/>
        <w:rPr>
          <w:rFonts w:cs="David"/>
          <w:sz w:val="24"/>
          <w:szCs w:val="24"/>
        </w:rPr>
      </w:pPr>
      <w:r>
        <w:rPr>
          <w:rFonts w:cs="David"/>
          <w:sz w:val="24"/>
          <w:szCs w:val="24"/>
          <w:rtl/>
        </w:rPr>
        <w:t>סמוך לאחר קבלת עמדת היועמ"ש ביקשתי כי יבהיר מדוע התייחסה עמדתו לוועדות הרפואיות לערעורים בלבד, שעה שבקשת האישור לא הוגבלה לוועדות אלו, ואף ההחלטה מיום 10.2.2019 בה התבקש למסור את עמדתו לא הוגבלה רק לוועדות הרפואיות לערעורים.</w:t>
      </w:r>
    </w:p>
    <w:p w:rsidR="000B74E6" w:rsidRDefault="000B74E6" w:rsidP="000B74E6">
      <w:pPr>
        <w:pStyle w:val="ad"/>
        <w:spacing w:after="0" w:line="360" w:lineRule="auto"/>
        <w:ind w:left="340" w:hanging="510"/>
        <w:jc w:val="both"/>
        <w:rPr>
          <w:rFonts w:cs="David"/>
          <w:sz w:val="24"/>
          <w:szCs w:val="24"/>
        </w:rPr>
      </w:pPr>
    </w:p>
    <w:p w:rsidR="000B74E6" w:rsidRDefault="000B74E6" w:rsidP="000B74E6">
      <w:pPr>
        <w:pStyle w:val="ad"/>
        <w:numPr>
          <w:ilvl w:val="0"/>
          <w:numId w:val="1"/>
        </w:numPr>
        <w:spacing w:after="0" w:line="360" w:lineRule="auto"/>
        <w:ind w:left="340" w:hanging="510"/>
        <w:jc w:val="both"/>
        <w:rPr>
          <w:rFonts w:cs="David"/>
          <w:sz w:val="24"/>
          <w:szCs w:val="24"/>
        </w:rPr>
      </w:pPr>
      <w:r>
        <w:rPr>
          <w:rFonts w:cs="David"/>
          <w:sz w:val="24"/>
          <w:szCs w:val="24"/>
          <w:rtl/>
        </w:rPr>
        <w:t xml:space="preserve">בתשובתו הבהיר היועמ"ש כי לצורך מתן עמדתו בחן את נסיבות המקרה הקונקרטי של המבקשת, כפי שעלו מבקשת האישור, ומשההחלטה על הוצאת המלווה בזמן הבדיקה ניתנה על ידי הוועדה הרפואית לערעורים, התייחס בעמדתו לוועדה זו בלבד. בנוסף, לאור מורכבות בחינת שאלת היריבות ולאור מערכות הדינים השונות החלות על הוועדות השונות, לא ראה היועמ"ש לנכון להידרש במסגרת עמדתו לכלל הוועדות השונות </w:t>
      </w:r>
      <w:proofErr w:type="spellStart"/>
      <w:r>
        <w:rPr>
          <w:rFonts w:cs="David"/>
          <w:sz w:val="24"/>
          <w:szCs w:val="24"/>
          <w:rtl/>
        </w:rPr>
        <w:t>במל"ל</w:t>
      </w:r>
      <w:proofErr w:type="spellEnd"/>
      <w:r>
        <w:rPr>
          <w:rFonts w:cs="David"/>
          <w:sz w:val="24"/>
          <w:szCs w:val="24"/>
          <w:rtl/>
        </w:rPr>
        <w:t xml:space="preserve">. </w:t>
      </w:r>
    </w:p>
    <w:p w:rsidR="000B74E6" w:rsidRDefault="000B74E6" w:rsidP="000B74E6">
      <w:pPr>
        <w:pStyle w:val="ad"/>
        <w:spacing w:after="0" w:line="360" w:lineRule="auto"/>
        <w:ind w:left="340" w:hanging="510"/>
        <w:jc w:val="both"/>
        <w:rPr>
          <w:rFonts w:cs="David"/>
          <w:sz w:val="24"/>
          <w:szCs w:val="24"/>
        </w:rPr>
      </w:pPr>
    </w:p>
    <w:p w:rsidR="000B74E6" w:rsidRDefault="000B74E6" w:rsidP="000B74E6">
      <w:pPr>
        <w:pStyle w:val="ad"/>
        <w:numPr>
          <w:ilvl w:val="0"/>
          <w:numId w:val="1"/>
        </w:numPr>
        <w:spacing w:after="0" w:line="360" w:lineRule="auto"/>
        <w:ind w:left="340" w:hanging="510"/>
        <w:jc w:val="both"/>
        <w:rPr>
          <w:rFonts w:cs="David"/>
          <w:sz w:val="24"/>
          <w:szCs w:val="24"/>
        </w:rPr>
      </w:pPr>
      <w:r>
        <w:rPr>
          <w:rFonts w:cs="David"/>
          <w:sz w:val="24"/>
          <w:szCs w:val="24"/>
          <w:rtl/>
        </w:rPr>
        <w:t>הצדדים הגישו התייחסות לעמדת היועמ"ש ולהבהרה שהגיש.</w:t>
      </w:r>
    </w:p>
    <w:p w:rsidR="000B74E6" w:rsidRDefault="000B74E6" w:rsidP="000B74E6">
      <w:pPr>
        <w:pStyle w:val="ad"/>
        <w:spacing w:after="0" w:line="360" w:lineRule="auto"/>
        <w:ind w:hanging="510"/>
        <w:rPr>
          <w:rFonts w:cs="David"/>
          <w:sz w:val="24"/>
          <w:szCs w:val="24"/>
        </w:rPr>
      </w:pPr>
    </w:p>
    <w:p w:rsidR="000B74E6" w:rsidRDefault="000B74E6" w:rsidP="000B74E6">
      <w:pPr>
        <w:pStyle w:val="ad"/>
        <w:spacing w:after="0" w:line="360" w:lineRule="auto"/>
        <w:ind w:left="340"/>
        <w:jc w:val="both"/>
        <w:rPr>
          <w:rFonts w:cs="David"/>
          <w:sz w:val="24"/>
          <w:szCs w:val="24"/>
          <w:rtl/>
        </w:rPr>
      </w:pPr>
      <w:r>
        <w:rPr>
          <w:rFonts w:cs="David"/>
          <w:sz w:val="24"/>
          <w:szCs w:val="24"/>
          <w:rtl/>
        </w:rPr>
        <w:lastRenderedPageBreak/>
        <w:t>המשיב הודיע כי הוא מסכים לעמדות היועמ"ש בכל הנוגע לסוגיית היעדר היריבות, וסבור כי הטעמים האמורים תומכים בעמדת המשיב בבקשה לסילוק על הסף.</w:t>
      </w:r>
    </w:p>
    <w:p w:rsidR="000B74E6" w:rsidRDefault="000B74E6" w:rsidP="000B74E6">
      <w:pPr>
        <w:spacing w:line="360" w:lineRule="auto"/>
        <w:ind w:hanging="510"/>
        <w:jc w:val="both"/>
      </w:pPr>
    </w:p>
    <w:p w:rsidR="000B74E6" w:rsidRDefault="000B74E6" w:rsidP="000B74E6">
      <w:pPr>
        <w:pStyle w:val="ad"/>
        <w:numPr>
          <w:ilvl w:val="0"/>
          <w:numId w:val="1"/>
        </w:numPr>
        <w:spacing w:after="0" w:line="360" w:lineRule="auto"/>
        <w:ind w:left="340" w:hanging="510"/>
        <w:jc w:val="both"/>
        <w:rPr>
          <w:rFonts w:cs="David"/>
          <w:sz w:val="24"/>
          <w:szCs w:val="24"/>
          <w:rtl/>
        </w:rPr>
      </w:pPr>
      <w:r>
        <w:rPr>
          <w:rFonts w:cs="David"/>
          <w:sz w:val="24"/>
          <w:szCs w:val="24"/>
          <w:rtl/>
        </w:rPr>
        <w:t>המבקשת מסרה את ההתייחסות המפורטת הבאה:</w:t>
      </w:r>
    </w:p>
    <w:p w:rsidR="000B74E6" w:rsidRDefault="000B74E6" w:rsidP="000B74E6">
      <w:pPr>
        <w:pStyle w:val="ad"/>
        <w:spacing w:after="0" w:line="360" w:lineRule="auto"/>
        <w:ind w:left="340" w:hanging="510"/>
        <w:jc w:val="both"/>
        <w:rPr>
          <w:rFonts w:cs="David"/>
          <w:sz w:val="24"/>
          <w:szCs w:val="24"/>
        </w:rPr>
      </w:pPr>
    </w:p>
    <w:p w:rsidR="000B74E6" w:rsidRDefault="000B74E6" w:rsidP="000B74E6">
      <w:pPr>
        <w:pStyle w:val="ad"/>
        <w:numPr>
          <w:ilvl w:val="0"/>
          <w:numId w:val="2"/>
        </w:numPr>
        <w:spacing w:after="0" w:line="360" w:lineRule="auto"/>
        <w:ind w:hanging="510"/>
        <w:jc w:val="both"/>
        <w:rPr>
          <w:rFonts w:cs="David"/>
          <w:sz w:val="24"/>
          <w:szCs w:val="24"/>
          <w:rtl/>
        </w:rPr>
      </w:pPr>
      <w:r>
        <w:rPr>
          <w:rFonts w:cs="David"/>
          <w:sz w:val="24"/>
          <w:szCs w:val="24"/>
          <w:rtl/>
        </w:rPr>
        <w:t>מעמדת היועמ"ש עולה כי אף לשיטתו קיימת עילת תביעה לכל חברי הקבוצה בכל הנוגע להצבת השילוט. וכן, קיימת יריבות מול הוועדות הרפואיות לגביהן לא נטען כי יש להן חסינות מהותית.</w:t>
      </w:r>
    </w:p>
    <w:p w:rsidR="000B74E6" w:rsidRDefault="000B74E6" w:rsidP="000B74E6">
      <w:pPr>
        <w:pStyle w:val="ad"/>
        <w:numPr>
          <w:ilvl w:val="0"/>
          <w:numId w:val="2"/>
        </w:numPr>
        <w:spacing w:after="0" w:line="360" w:lineRule="auto"/>
        <w:ind w:hanging="510"/>
        <w:jc w:val="both"/>
        <w:rPr>
          <w:rFonts w:cs="David"/>
          <w:sz w:val="24"/>
          <w:szCs w:val="24"/>
        </w:rPr>
      </w:pPr>
      <w:r>
        <w:rPr>
          <w:rFonts w:cs="David"/>
          <w:sz w:val="24"/>
          <w:szCs w:val="24"/>
          <w:rtl/>
        </w:rPr>
        <w:t xml:space="preserve">בסוגיית החסינות בה התמקד היועמ"ש, כדי שגוף המבצע פעולות שיפוט יוכל ליהנות מהחסינות לפי סעיף 8 לפקודת </w:t>
      </w:r>
      <w:proofErr w:type="spellStart"/>
      <w:r>
        <w:rPr>
          <w:rFonts w:cs="David"/>
          <w:sz w:val="24"/>
          <w:szCs w:val="24"/>
          <w:rtl/>
        </w:rPr>
        <w:t>הנזיקין</w:t>
      </w:r>
      <w:proofErr w:type="spellEnd"/>
      <w:r>
        <w:rPr>
          <w:rFonts w:cs="David"/>
          <w:sz w:val="24"/>
          <w:szCs w:val="24"/>
          <w:rtl/>
        </w:rPr>
        <w:t xml:space="preserve"> עליו לעמוד בשלושה תנאים מצטברים: א. להכריע במחלוקות ובסכסוכים שבין בעלי דין; הפעולה מבוצעת בהליך דמוי משפט; כתוצאת לוואי מההליך הנ"ל עשוי להיגרם נזק.</w:t>
      </w:r>
    </w:p>
    <w:p w:rsidR="000B74E6" w:rsidRDefault="000B74E6" w:rsidP="000B74E6">
      <w:pPr>
        <w:pStyle w:val="ad"/>
        <w:spacing w:after="0" w:line="360" w:lineRule="auto"/>
        <w:ind w:left="700"/>
        <w:jc w:val="both"/>
        <w:rPr>
          <w:rFonts w:cs="David"/>
          <w:sz w:val="24"/>
          <w:szCs w:val="24"/>
        </w:rPr>
      </w:pPr>
      <w:r>
        <w:rPr>
          <w:rFonts w:cs="David"/>
          <w:sz w:val="24"/>
          <w:szCs w:val="24"/>
          <w:rtl/>
        </w:rPr>
        <w:t>בנוסף, החסינות לפי סעיף 8 הנ"ל מוגבלת רק להחלטות שהן בעלות מרכיבים שיפוטיים מובהקים.</w:t>
      </w:r>
    </w:p>
    <w:p w:rsidR="000B74E6" w:rsidRDefault="000B74E6" w:rsidP="000B74E6">
      <w:pPr>
        <w:pStyle w:val="ad"/>
        <w:numPr>
          <w:ilvl w:val="0"/>
          <w:numId w:val="2"/>
        </w:numPr>
        <w:spacing w:after="0" w:line="360" w:lineRule="auto"/>
        <w:ind w:hanging="510"/>
        <w:jc w:val="both"/>
        <w:rPr>
          <w:rFonts w:cs="David"/>
          <w:sz w:val="24"/>
          <w:szCs w:val="24"/>
        </w:rPr>
      </w:pPr>
      <w:r>
        <w:rPr>
          <w:rFonts w:cs="David"/>
          <w:sz w:val="24"/>
          <w:szCs w:val="24"/>
          <w:rtl/>
        </w:rPr>
        <w:t xml:space="preserve">הוועדה לערעורים </w:t>
      </w:r>
      <w:r>
        <w:rPr>
          <w:rFonts w:cs="David"/>
          <w:b/>
          <w:bCs/>
          <w:sz w:val="24"/>
          <w:szCs w:val="24"/>
          <w:rtl/>
        </w:rPr>
        <w:t>אינה מכריעה במחלוקת בין בעלי דין</w:t>
      </w:r>
      <w:r>
        <w:rPr>
          <w:rFonts w:cs="David"/>
          <w:sz w:val="24"/>
          <w:szCs w:val="24"/>
          <w:rtl/>
        </w:rPr>
        <w:t xml:space="preserve"> כי אם קובעת דרגת נכות של מבוטח על פי שיקול דעתה. בבג"ץ 5826/14 </w:t>
      </w:r>
      <w:r>
        <w:rPr>
          <w:rFonts w:cs="David"/>
          <w:b/>
          <w:bCs/>
          <w:sz w:val="24"/>
          <w:szCs w:val="24"/>
          <w:rtl/>
        </w:rPr>
        <w:t>אליהו נ' בית הדין הארצי לעבודה</w:t>
      </w:r>
      <w:r>
        <w:rPr>
          <w:rFonts w:cs="David"/>
          <w:sz w:val="24"/>
          <w:szCs w:val="24"/>
          <w:rtl/>
        </w:rPr>
        <w:t xml:space="preserve"> (22.6.2017) (להלן: "</w:t>
      </w:r>
      <w:r>
        <w:rPr>
          <w:rFonts w:cs="David"/>
          <w:b/>
          <w:bCs/>
          <w:sz w:val="24"/>
          <w:szCs w:val="24"/>
          <w:rtl/>
        </w:rPr>
        <w:t>עניין אליהו</w:t>
      </w:r>
      <w:r>
        <w:rPr>
          <w:rFonts w:cs="David"/>
          <w:sz w:val="24"/>
          <w:szCs w:val="24"/>
          <w:rtl/>
        </w:rPr>
        <w:t>"), הביע היועמ"ש עמדה הפוכה מעמדתו בהליך הנוכחי וטען כי ההליך בפני הוועדה לערעורים אינו כהליך שיפוטי המתנהל בבית משפט וכי "אין מדובר בהתדיינות בין שני יריבים". עמדה זו התקבלה על ידי בית המשפט באותו הליך. היועמ"ש מנוע מלטעון בהליך הנוכחי טענה הפוכה לטענה שטען בעניין אליהו, לאור קיומו של השתק שיפוטי, בפרט כאשר טענה זו התקבלה.</w:t>
      </w:r>
    </w:p>
    <w:p w:rsidR="000B74E6" w:rsidRDefault="000B74E6" w:rsidP="000B74E6">
      <w:pPr>
        <w:pStyle w:val="ad"/>
        <w:spacing w:after="0" w:line="360" w:lineRule="auto"/>
        <w:ind w:left="700"/>
        <w:jc w:val="both"/>
        <w:rPr>
          <w:rFonts w:cs="David"/>
          <w:sz w:val="24"/>
          <w:szCs w:val="24"/>
        </w:rPr>
      </w:pPr>
      <w:r>
        <w:rPr>
          <w:rFonts w:cs="David"/>
          <w:sz w:val="24"/>
          <w:szCs w:val="24"/>
          <w:rtl/>
        </w:rPr>
        <w:t>בהתאם לקביעות שצוינו לעיל, אין מתקיים המבחן של "הכרעה בין שני בעלי דין", ומאחר וחסינות תתאפשר רק כאשר מדובר בהתדיינות בין יריבים, אין חסינות לוועדה לערעורים.</w:t>
      </w:r>
    </w:p>
    <w:p w:rsidR="000B74E6" w:rsidRDefault="000B74E6" w:rsidP="000B74E6">
      <w:pPr>
        <w:pStyle w:val="ad"/>
        <w:numPr>
          <w:ilvl w:val="0"/>
          <w:numId w:val="2"/>
        </w:numPr>
        <w:spacing w:after="0" w:line="360" w:lineRule="auto"/>
        <w:ind w:hanging="510"/>
        <w:jc w:val="both"/>
        <w:rPr>
          <w:rFonts w:cs="David"/>
          <w:sz w:val="24"/>
          <w:szCs w:val="24"/>
        </w:rPr>
      </w:pPr>
      <w:r>
        <w:rPr>
          <w:rFonts w:cs="David"/>
          <w:sz w:val="24"/>
          <w:szCs w:val="24"/>
          <w:rtl/>
        </w:rPr>
        <w:t xml:space="preserve">יש לקבוע כי </w:t>
      </w:r>
      <w:r>
        <w:rPr>
          <w:rFonts w:cs="David"/>
          <w:b/>
          <w:bCs/>
          <w:sz w:val="24"/>
          <w:szCs w:val="24"/>
          <w:rtl/>
        </w:rPr>
        <w:t>הכרעת הוועדה הרפואית לערעורים אינה מהווה הכרעה בין יריבים</w:t>
      </w:r>
      <w:r>
        <w:rPr>
          <w:rFonts w:cs="David"/>
          <w:sz w:val="24"/>
          <w:szCs w:val="24"/>
          <w:rtl/>
        </w:rPr>
        <w:t xml:space="preserve"> אף מהטעמים הנוספים הבאים: זימון חברי הוועדה, לרבות בחירת זהותם בכל תיק, נעשה על ידי עובד המשיב, כך שהמשיב שולט על זהות הפורום שיקבל את ההחלטה. לא יעלה על הדעת שיתאפשר לצד למחלוקת לבחור את זהות חברי ההרכב שיכריעו במחלוקת; עובדי המשיב משמשים מזכירי ועדה ונוכחים בשלב הדיון אשר נערך ללא נוכחות המבוטח; כשמבוטח מגיש ערר, </w:t>
      </w:r>
      <w:proofErr w:type="spellStart"/>
      <w:r>
        <w:rPr>
          <w:rFonts w:cs="David"/>
          <w:sz w:val="24"/>
          <w:szCs w:val="24"/>
          <w:rtl/>
        </w:rPr>
        <w:t>המל"ל</w:t>
      </w:r>
      <w:proofErr w:type="spellEnd"/>
      <w:r>
        <w:rPr>
          <w:rFonts w:cs="David"/>
          <w:sz w:val="24"/>
          <w:szCs w:val="24"/>
          <w:rtl/>
        </w:rPr>
        <w:t xml:space="preserve"> אינו נדרש להביע עמדה ביחס לדרגת הנכות ואינו נוהג לעשות כן; המשיב אינו רשאי להגיע להסכמה עם מבוטח אודות דרגת הנכות. אם היה מדובר במחלוקת הדורשת הכרעה, ברי כי ניתן היה לקבוע דרגת נכות על בסיס הסכמה בין הצדדים. </w:t>
      </w:r>
    </w:p>
    <w:p w:rsidR="000B74E6" w:rsidRDefault="000B74E6" w:rsidP="000B74E6">
      <w:pPr>
        <w:pStyle w:val="ad"/>
        <w:numPr>
          <w:ilvl w:val="0"/>
          <w:numId w:val="2"/>
        </w:numPr>
        <w:spacing w:after="0" w:line="360" w:lineRule="auto"/>
        <w:ind w:hanging="510"/>
        <w:jc w:val="both"/>
        <w:rPr>
          <w:rFonts w:cs="David"/>
          <w:sz w:val="24"/>
          <w:szCs w:val="24"/>
        </w:rPr>
      </w:pPr>
      <w:r>
        <w:rPr>
          <w:rFonts w:cs="David"/>
          <w:sz w:val="24"/>
          <w:szCs w:val="24"/>
          <w:rtl/>
        </w:rPr>
        <w:lastRenderedPageBreak/>
        <w:t xml:space="preserve">הליך הוועדה הרפואית </w:t>
      </w:r>
      <w:r>
        <w:rPr>
          <w:rFonts w:cs="David"/>
          <w:b/>
          <w:bCs/>
          <w:sz w:val="24"/>
          <w:szCs w:val="24"/>
          <w:rtl/>
        </w:rPr>
        <w:t>אינו הליך דמוי משפט</w:t>
      </w:r>
      <w:r>
        <w:rPr>
          <w:rFonts w:cs="David"/>
          <w:sz w:val="24"/>
          <w:szCs w:val="24"/>
          <w:rtl/>
        </w:rPr>
        <w:t xml:space="preserve">: ההליך אינו כולל צדדים יריבים; ההליך מבוצע בשיטה אינקוויזיטורית; חלק מהוועדות הרפואיות הופרטו ומבוצעות על ידי זכיין של המשיב, והדבר מלמד כי אין מדובר במשפט. </w:t>
      </w:r>
    </w:p>
    <w:p w:rsidR="000B74E6" w:rsidRDefault="000B74E6" w:rsidP="000B74E6">
      <w:pPr>
        <w:pStyle w:val="ad"/>
        <w:numPr>
          <w:ilvl w:val="0"/>
          <w:numId w:val="2"/>
        </w:numPr>
        <w:spacing w:after="0" w:line="360" w:lineRule="auto"/>
        <w:ind w:hanging="510"/>
        <w:jc w:val="both"/>
        <w:rPr>
          <w:rFonts w:cs="David"/>
          <w:sz w:val="24"/>
          <w:szCs w:val="24"/>
        </w:rPr>
      </w:pPr>
      <w:r>
        <w:rPr>
          <w:rFonts w:cs="David"/>
          <w:sz w:val="24"/>
          <w:szCs w:val="24"/>
          <w:rtl/>
        </w:rPr>
        <w:t xml:space="preserve">אף ששר הרווחה חותם על מינוי רופא כחבר בוועדה הרפואית, הליך המינוי נעשה באמצעות פניה למשיב, לאחר ביצוע סינון על ידו ולפי שיקול דעתו. אף ההתקשרות הכספית לאחר המינוי והשיבוץ לוועדות, נעשית על ידי עובדי המשיב. מכאן שרופאי הוועדות פועלים במסגרת המשיב. תפקיד שר הרווחה כולל גם פיקוח על עבודת המשיב, ולכן אין בעצם החתימה על המינוי כדי להפוך את הרופאים הפועלים בוועדות הרפואיות, כמי שפועלים מטעם המדינה ולא מטעם המשיב. היועמ"ש אף לא טען, ולו לחלופין, כי אם לא קיימת חסינות שיפוטית לוועדות, יש לנהל את התביעה מול המדינה. דרך מינוי חברי הוועדות הרפואיות מלמדת אף היא על כך </w:t>
      </w:r>
      <w:r>
        <w:rPr>
          <w:rFonts w:cs="David"/>
          <w:b/>
          <w:bCs/>
          <w:sz w:val="24"/>
          <w:szCs w:val="24"/>
          <w:rtl/>
        </w:rPr>
        <w:t>שאין מדובר בהליך דמוי משפט</w:t>
      </w:r>
      <w:r>
        <w:rPr>
          <w:rFonts w:cs="David"/>
          <w:sz w:val="24"/>
          <w:szCs w:val="24"/>
          <w:rtl/>
        </w:rPr>
        <w:t xml:space="preserve">, שכן לא יעלה על הדעת שאחד הצדדים להליך שולט בזהות השופט. </w:t>
      </w:r>
    </w:p>
    <w:p w:rsidR="000B74E6" w:rsidRDefault="000B74E6" w:rsidP="000B74E6">
      <w:pPr>
        <w:pStyle w:val="ad"/>
        <w:numPr>
          <w:ilvl w:val="0"/>
          <w:numId w:val="2"/>
        </w:numPr>
        <w:spacing w:after="0" w:line="360" w:lineRule="auto"/>
        <w:ind w:hanging="510"/>
        <w:jc w:val="both"/>
        <w:rPr>
          <w:rFonts w:cs="David"/>
          <w:sz w:val="24"/>
          <w:szCs w:val="24"/>
        </w:rPr>
      </w:pPr>
      <w:r>
        <w:rPr>
          <w:rFonts w:cs="David"/>
          <w:sz w:val="24"/>
          <w:szCs w:val="24"/>
          <w:rtl/>
        </w:rPr>
        <w:t xml:space="preserve">ההחלטה למנוע נוכחות מלווה בבדיקת מבוטח בוועדות הרפואיות אינה החלטה בעלת מאפיינים שיפוטיים כי אם מדובר בנוהג שהשתרש. מניעת נוכחות המלווה אינה מתקבלת כהחלטה, אינה מתועדת ואינה מנומקת כהחלטה שיפוטית. היא גם אינה חלק מליבת ההכרעה הנדרשת. אף מטעם זה, אין מקום להעניק חסינות. </w:t>
      </w:r>
    </w:p>
    <w:p w:rsidR="000B74E6" w:rsidRDefault="000B74E6" w:rsidP="000B74E6">
      <w:pPr>
        <w:pStyle w:val="ad"/>
        <w:numPr>
          <w:ilvl w:val="0"/>
          <w:numId w:val="2"/>
        </w:numPr>
        <w:spacing w:after="0" w:line="360" w:lineRule="auto"/>
        <w:ind w:hanging="510"/>
        <w:jc w:val="both"/>
        <w:rPr>
          <w:rFonts w:cs="David"/>
          <w:sz w:val="24"/>
          <w:szCs w:val="24"/>
        </w:rPr>
      </w:pPr>
      <w:r>
        <w:rPr>
          <w:rFonts w:cs="David"/>
          <w:sz w:val="24"/>
          <w:szCs w:val="24"/>
          <w:rtl/>
        </w:rPr>
        <w:t xml:space="preserve">אין מתקיימים בענייננו הטעמים שנקבעו בפסיקה להענקת חסינות לגוף שיפוטי, אשר מטרתה לאפשר עצמאות ולמנוע השפעה של שיקולים זרים. אין קשר בין האפליה השיטתית והממוסדת של בעלי מוגבלות נפשית לבין סמכויות שיפוטיות. בקשת האישור  לא נועדה לתקוף חבר ועדה באופן אישי כי אם את ההתנהלות השיטתית, שאינה מוגבלת להרכב כזה או אחר או לסניף כזה או אחר.  </w:t>
      </w:r>
    </w:p>
    <w:p w:rsidR="000B74E6" w:rsidRDefault="000B74E6" w:rsidP="000B74E6">
      <w:pPr>
        <w:pStyle w:val="ad"/>
        <w:numPr>
          <w:ilvl w:val="0"/>
          <w:numId w:val="2"/>
        </w:numPr>
        <w:spacing w:after="0" w:line="360" w:lineRule="auto"/>
        <w:ind w:hanging="510"/>
        <w:jc w:val="both"/>
        <w:rPr>
          <w:rFonts w:cs="David"/>
          <w:sz w:val="24"/>
          <w:szCs w:val="24"/>
        </w:rPr>
      </w:pPr>
      <w:r>
        <w:rPr>
          <w:rFonts w:cs="David"/>
          <w:sz w:val="24"/>
          <w:szCs w:val="24"/>
          <w:rtl/>
        </w:rPr>
        <w:t xml:space="preserve">ככל שתתקבל הטענה כי לא קיימת חסינות שיפוטית לוועדה לערעורים, ברי כי אין חסינות ליתר סוגי הוועדות הרפואיות הפועלות </w:t>
      </w:r>
      <w:proofErr w:type="spellStart"/>
      <w:r>
        <w:rPr>
          <w:rFonts w:cs="David"/>
          <w:sz w:val="24"/>
          <w:szCs w:val="24"/>
          <w:rtl/>
        </w:rPr>
        <w:t>במל"ל</w:t>
      </w:r>
      <w:proofErr w:type="spellEnd"/>
      <w:r>
        <w:rPr>
          <w:rFonts w:cs="David"/>
          <w:sz w:val="24"/>
          <w:szCs w:val="24"/>
          <w:rtl/>
        </w:rPr>
        <w:t xml:space="preserve">. </w:t>
      </w:r>
    </w:p>
    <w:p w:rsidR="000B74E6" w:rsidRDefault="000B74E6" w:rsidP="000B74E6">
      <w:pPr>
        <w:pStyle w:val="ad"/>
        <w:numPr>
          <w:ilvl w:val="0"/>
          <w:numId w:val="2"/>
        </w:numPr>
        <w:spacing w:after="0" w:line="360" w:lineRule="auto"/>
        <w:ind w:hanging="510"/>
        <w:jc w:val="both"/>
        <w:rPr>
          <w:rFonts w:cs="David"/>
          <w:sz w:val="24"/>
          <w:szCs w:val="24"/>
        </w:rPr>
      </w:pPr>
      <w:r>
        <w:rPr>
          <w:rFonts w:cs="David"/>
          <w:sz w:val="24"/>
          <w:szCs w:val="24"/>
          <w:rtl/>
        </w:rPr>
        <w:t>אם ייקבע שאין למבקשת עילת תביעה נגד הוועדה לערעורים בשל חסינות, הרי לכל היותר יעשה בית המשפט שימוש בסמכותו לפי סעיף 8(ג) לחוק תובענות ייצוגיות ויורה על צירוף תובע מייצג נוסף אשר יש לו עילת תביעה בנוגע לוועדה רפואית מדרג ראשון ו/או בתחום שאינו נפגעי עבודה (סעיף 9 להתייחסות המבקשת).</w:t>
      </w:r>
    </w:p>
    <w:p w:rsidR="000B74E6" w:rsidRDefault="000B74E6" w:rsidP="000B74E6">
      <w:pPr>
        <w:spacing w:line="360" w:lineRule="auto"/>
        <w:ind w:hanging="510"/>
        <w:jc w:val="both"/>
        <w:rPr>
          <w:b/>
          <w:bCs/>
        </w:rPr>
      </w:pPr>
    </w:p>
    <w:p w:rsidR="000B74E6" w:rsidRDefault="000B74E6" w:rsidP="000B74E6">
      <w:pPr>
        <w:pStyle w:val="ad"/>
        <w:numPr>
          <w:ilvl w:val="0"/>
          <w:numId w:val="1"/>
        </w:numPr>
        <w:spacing w:after="0" w:line="360" w:lineRule="auto"/>
        <w:ind w:left="340" w:hanging="510"/>
        <w:jc w:val="both"/>
        <w:rPr>
          <w:rFonts w:cs="David"/>
          <w:sz w:val="24"/>
          <w:szCs w:val="24"/>
          <w:rtl/>
        </w:rPr>
      </w:pPr>
      <w:r>
        <w:rPr>
          <w:rFonts w:cs="David"/>
          <w:sz w:val="24"/>
          <w:szCs w:val="24"/>
          <w:rtl/>
        </w:rPr>
        <w:t>היועמ"ש השיב (ברשות) להתייחסות המבקשת לעמדתו, וטען את הטענות הבאות:</w:t>
      </w:r>
    </w:p>
    <w:p w:rsidR="000B74E6" w:rsidRDefault="000B74E6" w:rsidP="000B74E6">
      <w:pPr>
        <w:pStyle w:val="ad"/>
        <w:spacing w:after="0" w:line="360" w:lineRule="auto"/>
        <w:ind w:left="700"/>
        <w:jc w:val="both"/>
        <w:rPr>
          <w:rFonts w:cs="David"/>
          <w:sz w:val="24"/>
          <w:szCs w:val="24"/>
        </w:rPr>
      </w:pPr>
    </w:p>
    <w:p w:rsidR="000B74E6" w:rsidRDefault="000B74E6" w:rsidP="000B74E6">
      <w:pPr>
        <w:pStyle w:val="ad"/>
        <w:numPr>
          <w:ilvl w:val="0"/>
          <w:numId w:val="3"/>
        </w:numPr>
        <w:spacing w:after="0" w:line="360" w:lineRule="auto"/>
        <w:ind w:hanging="510"/>
        <w:jc w:val="both"/>
        <w:rPr>
          <w:rFonts w:cs="David"/>
          <w:sz w:val="24"/>
          <w:szCs w:val="24"/>
        </w:rPr>
      </w:pPr>
      <w:r>
        <w:rPr>
          <w:rFonts w:cs="David"/>
          <w:sz w:val="24"/>
          <w:szCs w:val="24"/>
          <w:rtl/>
        </w:rPr>
        <w:t xml:space="preserve">לא הובעה על ידי היועמ"ש כל עמדה קונקרטית לגבי קיומה או אי קיומה של חסינות שיפוטית לוועדות השונות הפועלות לפי חוק הביטוח הלאומי ויש לדחות את טענת המבקשת בעניין זה. באשר לסוגיית תליית השלטים על ידי המשיב, הבהיר היועמ"ש כי </w:t>
      </w:r>
      <w:r>
        <w:rPr>
          <w:rFonts w:cs="David"/>
          <w:sz w:val="24"/>
          <w:szCs w:val="24"/>
          <w:rtl/>
        </w:rPr>
        <w:lastRenderedPageBreak/>
        <w:t>היא אינה חוסה תחת החסינות השיפוטית של הוועדה לערעורים (</w:t>
      </w:r>
      <w:r>
        <w:rPr>
          <w:rFonts w:cs="David"/>
          <w:b/>
          <w:bCs/>
          <w:sz w:val="24"/>
          <w:szCs w:val="24"/>
          <w:rtl/>
        </w:rPr>
        <w:t>אציין כי אני מקבל את תשובת היועמ"ש המתוארת בסעיף זה</w:t>
      </w:r>
      <w:r>
        <w:rPr>
          <w:rFonts w:cs="David"/>
          <w:sz w:val="24"/>
          <w:szCs w:val="24"/>
          <w:rtl/>
        </w:rPr>
        <w:t>).</w:t>
      </w:r>
    </w:p>
    <w:p w:rsidR="000B74E6" w:rsidRDefault="000B74E6" w:rsidP="000B74E6">
      <w:pPr>
        <w:pStyle w:val="ad"/>
        <w:numPr>
          <w:ilvl w:val="0"/>
          <w:numId w:val="3"/>
        </w:numPr>
        <w:spacing w:after="0" w:line="360" w:lineRule="auto"/>
        <w:ind w:hanging="510"/>
        <w:jc w:val="both"/>
        <w:rPr>
          <w:rFonts w:cs="David"/>
          <w:sz w:val="24"/>
          <w:szCs w:val="24"/>
        </w:rPr>
      </w:pPr>
      <w:r>
        <w:rPr>
          <w:rFonts w:cs="David"/>
          <w:sz w:val="24"/>
          <w:szCs w:val="24"/>
          <w:rtl/>
        </w:rPr>
        <w:t>הוועדה לערעורים היא בעלת תפקיד שיפוטי, ובעלי הדין הם המבוטחים והמוסד לביטוח לאומי, כאשר תפקידה של הוועדה הוא להכריע במחלוקות ובסכסוכים בנושאים רפואיים ומקצועיים שבתחום סמכותה, שבין בעלי הדין. מאחר שמדובר בהכרעה בין שני צדדים, הן המבוטח והן המשיב רשאים לערער על החלטת הוועדה לערעורים לבית הדין האזורי לעבודה, בשאלה משפטית בלבד, אם ראו עצמם נפגעים מההחלטה.</w:t>
      </w:r>
    </w:p>
    <w:p w:rsidR="000B74E6" w:rsidRDefault="000B74E6" w:rsidP="000B74E6">
      <w:pPr>
        <w:pStyle w:val="ad"/>
        <w:spacing w:after="0" w:line="360" w:lineRule="auto"/>
        <w:ind w:left="700"/>
        <w:jc w:val="both"/>
        <w:rPr>
          <w:rFonts w:cs="David"/>
          <w:sz w:val="24"/>
          <w:szCs w:val="24"/>
        </w:rPr>
      </w:pPr>
      <w:r>
        <w:rPr>
          <w:rFonts w:cs="David"/>
          <w:sz w:val="24"/>
          <w:szCs w:val="24"/>
          <w:rtl/>
        </w:rPr>
        <w:t xml:space="preserve">גם אם בשל מאפייניה המיוחדים של הוועדה לערעורים אין מדובר בהתדיינות רגילה בין שני יריבים, וגם אם ההליך שלפניה עשוי ללבוש אופי אינקוויזיטורי, אין בכך לאיין את תפקידה </w:t>
      </w:r>
      <w:proofErr w:type="spellStart"/>
      <w:r>
        <w:rPr>
          <w:rFonts w:cs="David"/>
          <w:sz w:val="24"/>
          <w:szCs w:val="24"/>
          <w:rtl/>
        </w:rPr>
        <w:t>המעין</w:t>
      </w:r>
      <w:proofErr w:type="spellEnd"/>
      <w:r>
        <w:rPr>
          <w:rFonts w:cs="David"/>
          <w:sz w:val="24"/>
          <w:szCs w:val="24"/>
          <w:rtl/>
        </w:rPr>
        <w:t xml:space="preserve">-שיפוטי של הוועדה, הנדרשת להכריע בהליך דמוי משפט במחלוקות רפואיות בין המבוטח </w:t>
      </w:r>
      <w:proofErr w:type="spellStart"/>
      <w:r>
        <w:rPr>
          <w:rFonts w:cs="David"/>
          <w:sz w:val="24"/>
          <w:szCs w:val="24"/>
          <w:rtl/>
        </w:rPr>
        <w:t>למל"ל</w:t>
      </w:r>
      <w:proofErr w:type="spellEnd"/>
      <w:r>
        <w:rPr>
          <w:rFonts w:cs="David"/>
          <w:sz w:val="24"/>
          <w:szCs w:val="24"/>
          <w:rtl/>
        </w:rPr>
        <w:t xml:space="preserve"> ולפסוק בזכויות המבוטח, תוך הפעלת ביקורת שיפוטית רחבה על החלטת הוועדה הראשונה, גם אם צד אחד אינו מתייצב פיזית לדיון בערר. החלטת הוועדה לערעורים אף עומדת לביקורת שיפוטית של בית הדין האזורי לעבודה.</w:t>
      </w:r>
    </w:p>
    <w:p w:rsidR="000B74E6" w:rsidRDefault="000B74E6" w:rsidP="000B74E6">
      <w:pPr>
        <w:pStyle w:val="ad"/>
        <w:spacing w:after="0" w:line="360" w:lineRule="auto"/>
        <w:ind w:left="700"/>
        <w:jc w:val="both"/>
        <w:rPr>
          <w:rFonts w:cs="David"/>
          <w:sz w:val="24"/>
          <w:szCs w:val="24"/>
        </w:rPr>
      </w:pPr>
      <w:r>
        <w:rPr>
          <w:rFonts w:cs="David"/>
          <w:sz w:val="24"/>
          <w:szCs w:val="24"/>
          <w:rtl/>
        </w:rPr>
        <w:t xml:space="preserve">בפני הוועדה מתקיים הליך דמוי משפט, כשפעולתה היא פעולה "פוסקת" להבדיל מפעולת ביצוע </w:t>
      </w:r>
      <w:proofErr w:type="spellStart"/>
      <w:r>
        <w:rPr>
          <w:rFonts w:cs="David"/>
          <w:sz w:val="24"/>
          <w:szCs w:val="24"/>
          <w:rtl/>
        </w:rPr>
        <w:t>ומינהל</w:t>
      </w:r>
      <w:proofErr w:type="spellEnd"/>
      <w:r>
        <w:rPr>
          <w:rFonts w:cs="David"/>
          <w:sz w:val="24"/>
          <w:szCs w:val="24"/>
          <w:rtl/>
        </w:rPr>
        <w:t>.</w:t>
      </w:r>
    </w:p>
    <w:p w:rsidR="000B74E6" w:rsidRDefault="000B74E6" w:rsidP="000B74E6">
      <w:pPr>
        <w:pStyle w:val="ad"/>
        <w:spacing w:after="0" w:line="360" w:lineRule="auto"/>
        <w:ind w:left="700"/>
        <w:jc w:val="both"/>
        <w:rPr>
          <w:rFonts w:cs="David"/>
          <w:sz w:val="24"/>
          <w:szCs w:val="24"/>
        </w:rPr>
      </w:pPr>
      <w:r>
        <w:rPr>
          <w:rFonts w:cs="David"/>
          <w:sz w:val="24"/>
          <w:szCs w:val="24"/>
          <w:rtl/>
        </w:rPr>
        <w:t xml:space="preserve">לפיכך, והגם שלוועדה לערעורים מאפיינים מיוחדים, מתקיים לגביה המבחן להחלת החסינות השיפוטית. </w:t>
      </w:r>
    </w:p>
    <w:p w:rsidR="000B74E6" w:rsidRDefault="000B74E6" w:rsidP="000B74E6">
      <w:pPr>
        <w:pStyle w:val="ad"/>
        <w:numPr>
          <w:ilvl w:val="0"/>
          <w:numId w:val="3"/>
        </w:numPr>
        <w:spacing w:after="0" w:line="360" w:lineRule="auto"/>
        <w:ind w:hanging="510"/>
        <w:jc w:val="both"/>
        <w:rPr>
          <w:rFonts w:cs="David"/>
          <w:sz w:val="24"/>
          <w:szCs w:val="24"/>
        </w:rPr>
      </w:pPr>
      <w:r>
        <w:rPr>
          <w:rFonts w:cs="David"/>
          <w:sz w:val="24"/>
          <w:szCs w:val="24"/>
          <w:rtl/>
        </w:rPr>
        <w:t>יש לדחות את טענת המבקשת כי עמדת היועמ"ש בהליך הנוכחי הפוכה מעמדתו בעניין אליהו. לא עולה חוסר אחידות משתי העמדות.</w:t>
      </w:r>
    </w:p>
    <w:p w:rsidR="000B74E6" w:rsidRDefault="000B74E6" w:rsidP="000B74E6">
      <w:pPr>
        <w:pStyle w:val="ad"/>
        <w:numPr>
          <w:ilvl w:val="0"/>
          <w:numId w:val="3"/>
        </w:numPr>
        <w:spacing w:after="0" w:line="360" w:lineRule="auto"/>
        <w:ind w:hanging="510"/>
        <w:jc w:val="both"/>
        <w:rPr>
          <w:rFonts w:cs="David"/>
          <w:sz w:val="24"/>
          <w:szCs w:val="24"/>
        </w:rPr>
      </w:pPr>
      <w:r>
        <w:rPr>
          <w:rFonts w:cs="David"/>
          <w:sz w:val="24"/>
          <w:szCs w:val="24"/>
          <w:rtl/>
        </w:rPr>
        <w:t xml:space="preserve">העובדה שהוועדה לערעורים מופעלת על ידי </w:t>
      </w:r>
      <w:proofErr w:type="spellStart"/>
      <w:r>
        <w:rPr>
          <w:rFonts w:cs="David"/>
          <w:sz w:val="24"/>
          <w:szCs w:val="24"/>
          <w:rtl/>
        </w:rPr>
        <w:t>המל"ל</w:t>
      </w:r>
      <w:proofErr w:type="spellEnd"/>
      <w:r>
        <w:rPr>
          <w:rFonts w:cs="David"/>
          <w:sz w:val="24"/>
          <w:szCs w:val="24"/>
          <w:rtl/>
        </w:rPr>
        <w:t xml:space="preserve"> מבחינה ארגונית ותקציבית אינה רלוונטית לשאלת החסינות. על פי הפסיקה, הוועדה אינה חבה חובת נאמנות </w:t>
      </w:r>
      <w:proofErr w:type="spellStart"/>
      <w:r>
        <w:rPr>
          <w:rFonts w:cs="David"/>
          <w:sz w:val="24"/>
          <w:szCs w:val="24"/>
          <w:rtl/>
        </w:rPr>
        <w:t>למל"ל</w:t>
      </w:r>
      <w:proofErr w:type="spellEnd"/>
      <w:r>
        <w:rPr>
          <w:rFonts w:cs="David"/>
          <w:sz w:val="24"/>
          <w:szCs w:val="24"/>
          <w:rtl/>
        </w:rPr>
        <w:t xml:space="preserve"> ומדובר בגוף בלתי תלוי. בנוסף, חברי הוועדה אינם עובדי </w:t>
      </w:r>
      <w:proofErr w:type="spellStart"/>
      <w:r>
        <w:rPr>
          <w:rFonts w:cs="David"/>
          <w:sz w:val="24"/>
          <w:szCs w:val="24"/>
          <w:rtl/>
        </w:rPr>
        <w:t>המל"ל</w:t>
      </w:r>
      <w:proofErr w:type="spellEnd"/>
      <w:r>
        <w:rPr>
          <w:rFonts w:cs="David"/>
          <w:sz w:val="24"/>
          <w:szCs w:val="24"/>
          <w:rtl/>
        </w:rPr>
        <w:t xml:space="preserve"> ואינם כפופים לו. </w:t>
      </w:r>
    </w:p>
    <w:p w:rsidR="000B74E6" w:rsidRDefault="000B74E6" w:rsidP="000B74E6">
      <w:pPr>
        <w:pStyle w:val="ad"/>
        <w:spacing w:after="0" w:line="360" w:lineRule="auto"/>
        <w:ind w:left="700"/>
        <w:jc w:val="both"/>
        <w:rPr>
          <w:rFonts w:cs="David"/>
          <w:sz w:val="24"/>
          <w:szCs w:val="24"/>
        </w:rPr>
      </w:pPr>
      <w:r>
        <w:rPr>
          <w:rFonts w:cs="David"/>
          <w:sz w:val="24"/>
          <w:szCs w:val="24"/>
          <w:rtl/>
        </w:rPr>
        <w:t xml:space="preserve">כמו כן, אין במעורבות </w:t>
      </w:r>
      <w:proofErr w:type="spellStart"/>
      <w:r>
        <w:rPr>
          <w:rFonts w:cs="David"/>
          <w:sz w:val="24"/>
          <w:szCs w:val="24"/>
          <w:rtl/>
        </w:rPr>
        <w:t>המל"ל</w:t>
      </w:r>
      <w:proofErr w:type="spellEnd"/>
      <w:r>
        <w:rPr>
          <w:rFonts w:cs="David"/>
          <w:sz w:val="24"/>
          <w:szCs w:val="24"/>
          <w:rtl/>
        </w:rPr>
        <w:t xml:space="preserve"> בניהול הוועדה לערעורים לפגוע בעצמאות שיקול הדעת של רופאי הוועדה, וכך אף באשר למעורבות </w:t>
      </w:r>
      <w:proofErr w:type="spellStart"/>
      <w:r>
        <w:rPr>
          <w:rFonts w:cs="David"/>
          <w:sz w:val="24"/>
          <w:szCs w:val="24"/>
          <w:rtl/>
        </w:rPr>
        <w:t>המל"ל</w:t>
      </w:r>
      <w:proofErr w:type="spellEnd"/>
      <w:r>
        <w:rPr>
          <w:rFonts w:cs="David"/>
          <w:sz w:val="24"/>
          <w:szCs w:val="24"/>
          <w:rtl/>
        </w:rPr>
        <w:t xml:space="preserve"> בהליך קליטת רופאי הוועדה. ההיבטים הניהוליים המתבצעים על ידי </w:t>
      </w:r>
      <w:proofErr w:type="spellStart"/>
      <w:r>
        <w:rPr>
          <w:rFonts w:cs="David"/>
          <w:sz w:val="24"/>
          <w:szCs w:val="24"/>
          <w:rtl/>
        </w:rPr>
        <w:t>המל"ל</w:t>
      </w:r>
      <w:proofErr w:type="spellEnd"/>
      <w:r>
        <w:rPr>
          <w:rFonts w:cs="David"/>
          <w:sz w:val="24"/>
          <w:szCs w:val="24"/>
          <w:rtl/>
        </w:rPr>
        <w:t xml:space="preserve"> נועדו ליצור אחידות בפרוצדורה ובמתן השירות בוועדות הרפואיות לערעורים.</w:t>
      </w:r>
    </w:p>
    <w:p w:rsidR="000B74E6" w:rsidRDefault="000B74E6" w:rsidP="000B74E6">
      <w:pPr>
        <w:pStyle w:val="ad"/>
        <w:spacing w:after="0" w:line="360" w:lineRule="auto"/>
        <w:ind w:left="700"/>
        <w:jc w:val="both"/>
        <w:rPr>
          <w:rFonts w:cs="David"/>
          <w:sz w:val="24"/>
          <w:szCs w:val="24"/>
          <w:rtl/>
        </w:rPr>
      </w:pPr>
      <w:r>
        <w:rPr>
          <w:rFonts w:cs="David"/>
          <w:sz w:val="24"/>
          <w:szCs w:val="24"/>
          <w:rtl/>
        </w:rPr>
        <w:t>למעורבות המשיב בחלק מהליך קליטת רופאי הוועדה הרפואית לערעורים אין כל השפעה על הוועדה והחלטותיה כגוף בלתי תלוי, המחויב לשיקול דעת עצמאי, אשר חב חובת נאמנות לציבור וכפוף לדין.</w:t>
      </w:r>
    </w:p>
    <w:p w:rsidR="000B74E6" w:rsidRDefault="000B74E6" w:rsidP="000B74E6">
      <w:pPr>
        <w:pStyle w:val="ad"/>
        <w:numPr>
          <w:ilvl w:val="0"/>
          <w:numId w:val="3"/>
        </w:numPr>
        <w:spacing w:after="0" w:line="360" w:lineRule="auto"/>
        <w:ind w:hanging="510"/>
        <w:jc w:val="both"/>
        <w:rPr>
          <w:rFonts w:cs="David"/>
          <w:sz w:val="24"/>
          <w:szCs w:val="24"/>
        </w:rPr>
      </w:pPr>
      <w:r>
        <w:rPr>
          <w:rFonts w:cs="David"/>
          <w:sz w:val="24"/>
          <w:szCs w:val="24"/>
          <w:rtl/>
        </w:rPr>
        <w:t>יש לדחות את טענת המבקשת לפיה ההחלטה שלא להכניס מלווה לבדיקה אינה בעלת מאפיינים משפטיים. המדובר בסמכות שהוענקה לוועדה מכוח הדין ומעוגנת בתקנה 9 לתקנות הביטוח הלאומי. מדובר בהחלטה שיפוטית מובהקת של גוף מעין שיפוטי, המהווה חלק מתהליך קבלת ההכרעה בערר ונועדה לאפשר לוועדה לקבל החלטה נכונה וראויה. על הוועדה חלה חובה לציין את החלטתה בדבר הוצאת מלווה בפרוטוקול הדיון ולנמקה.</w:t>
      </w:r>
    </w:p>
    <w:p w:rsidR="000B74E6" w:rsidRDefault="000B74E6" w:rsidP="000B74E6">
      <w:pPr>
        <w:pStyle w:val="ad"/>
        <w:spacing w:after="0" w:line="360" w:lineRule="auto"/>
        <w:ind w:left="700" w:firstLine="15"/>
        <w:jc w:val="both"/>
        <w:rPr>
          <w:rFonts w:cs="David"/>
          <w:sz w:val="24"/>
          <w:szCs w:val="24"/>
        </w:rPr>
      </w:pPr>
      <w:r>
        <w:rPr>
          <w:rFonts w:cs="David"/>
          <w:sz w:val="24"/>
          <w:szCs w:val="24"/>
          <w:rtl/>
        </w:rPr>
        <w:lastRenderedPageBreak/>
        <w:t xml:space="preserve">קיים אינטרס ציבורי כי הוועדה לערעורים תידון ללא חשש לתביעות מצד מבוטח והצורך לשמור על שיקול דעתה העצמאי מצדיק החלת חסינות שיפוטית בעת מילוי תפקידה. </w:t>
      </w:r>
    </w:p>
    <w:p w:rsidR="000B74E6" w:rsidRDefault="000B74E6" w:rsidP="000B74E6">
      <w:pPr>
        <w:spacing w:line="360" w:lineRule="auto"/>
        <w:ind w:hanging="510"/>
        <w:jc w:val="both"/>
      </w:pPr>
    </w:p>
    <w:p w:rsidR="000B74E6" w:rsidRDefault="000B74E6" w:rsidP="000B74E6">
      <w:pPr>
        <w:spacing w:line="360" w:lineRule="auto"/>
        <w:ind w:hanging="170"/>
        <w:jc w:val="both"/>
        <w:rPr>
          <w:b/>
          <w:bCs/>
          <w:sz w:val="28"/>
          <w:szCs w:val="28"/>
          <w:u w:val="single"/>
          <w:rtl/>
        </w:rPr>
      </w:pPr>
      <w:r>
        <w:rPr>
          <w:b/>
          <w:bCs/>
          <w:sz w:val="28"/>
          <w:szCs w:val="28"/>
          <w:u w:val="single"/>
          <w:rtl/>
        </w:rPr>
        <w:t>דיון והכרעה</w:t>
      </w:r>
    </w:p>
    <w:p w:rsidR="000B74E6" w:rsidRDefault="000B74E6" w:rsidP="000B74E6">
      <w:pPr>
        <w:spacing w:line="360" w:lineRule="auto"/>
        <w:ind w:hanging="510"/>
        <w:jc w:val="both"/>
        <w:rPr>
          <w:b/>
          <w:bCs/>
          <w:u w:val="single"/>
          <w:rtl/>
        </w:rPr>
      </w:pPr>
    </w:p>
    <w:p w:rsidR="000B74E6" w:rsidRDefault="000B74E6" w:rsidP="000B74E6">
      <w:pPr>
        <w:spacing w:line="360" w:lineRule="auto"/>
        <w:ind w:hanging="170"/>
        <w:jc w:val="both"/>
        <w:rPr>
          <w:b/>
          <w:bCs/>
          <w:u w:val="single"/>
          <w:rtl/>
        </w:rPr>
      </w:pPr>
      <w:r>
        <w:rPr>
          <w:b/>
          <w:bCs/>
          <w:u w:val="single"/>
          <w:rtl/>
        </w:rPr>
        <w:t>הסוגיה המשפטית מושא בקשת האישור</w:t>
      </w:r>
    </w:p>
    <w:p w:rsidR="000B74E6" w:rsidRDefault="000B74E6" w:rsidP="000B74E6">
      <w:pPr>
        <w:spacing w:line="360" w:lineRule="auto"/>
        <w:ind w:hanging="510"/>
        <w:jc w:val="both"/>
        <w:rPr>
          <w:b/>
          <w:bCs/>
          <w:sz w:val="28"/>
          <w:szCs w:val="28"/>
          <w:u w:val="single"/>
          <w:rtl/>
        </w:rPr>
      </w:pPr>
    </w:p>
    <w:p w:rsidR="000B74E6" w:rsidRDefault="000B74E6" w:rsidP="000B74E6">
      <w:pPr>
        <w:pStyle w:val="P00"/>
        <w:numPr>
          <w:ilvl w:val="0"/>
          <w:numId w:val="1"/>
        </w:numPr>
        <w:spacing w:before="0" w:line="360" w:lineRule="auto"/>
        <w:ind w:left="360" w:hanging="510"/>
        <w:rPr>
          <w:rFonts w:ascii="David" w:hAnsi="David" w:cs="David"/>
          <w:sz w:val="24"/>
          <w:szCs w:val="24"/>
          <w:rtl/>
        </w:rPr>
      </w:pPr>
      <w:r>
        <w:rPr>
          <w:rFonts w:ascii="David" w:hAnsi="David" w:cs="David"/>
          <w:sz w:val="24"/>
          <w:szCs w:val="24"/>
          <w:rtl/>
        </w:rPr>
        <w:t xml:space="preserve">לצורך הדיון בבקשת הסילוק, אין צורך להעמיק חקר בסוגיה המשפטית שמעלה בקשת האישור, דהיינו בטענה כי הוועדות הרפואיות בביטוח הלאומי </w:t>
      </w:r>
      <w:r>
        <w:rPr>
          <w:rFonts w:cs="David"/>
          <w:sz w:val="24"/>
          <w:szCs w:val="24"/>
          <w:rtl/>
        </w:rPr>
        <w:t>אינן מאפשרות באופן גורף נוכחות של מלווה בעת שהן בודקות מבוטח בתחום הנפשי, ואינן מציינות זאת בפרוטוקול הדיון.</w:t>
      </w:r>
      <w:r>
        <w:rPr>
          <w:rFonts w:ascii="David" w:hAnsi="David" w:cs="David"/>
          <w:sz w:val="24"/>
          <w:szCs w:val="24"/>
          <w:rtl/>
        </w:rPr>
        <w:t xml:space="preserve"> ככל שלא תסולק התביעה על הסף, ייבחן נושא זה במסגרת הדיון בבקשת האישור.</w:t>
      </w:r>
    </w:p>
    <w:p w:rsidR="000B74E6" w:rsidRDefault="000B74E6" w:rsidP="000B74E6">
      <w:pPr>
        <w:pStyle w:val="P00"/>
        <w:spacing w:before="0" w:line="360" w:lineRule="auto"/>
        <w:ind w:left="360"/>
        <w:rPr>
          <w:rFonts w:ascii="David" w:hAnsi="David" w:cs="David"/>
          <w:sz w:val="24"/>
          <w:szCs w:val="24"/>
        </w:rPr>
      </w:pPr>
      <w:r>
        <w:rPr>
          <w:rFonts w:ascii="David" w:hAnsi="David" w:cs="David"/>
          <w:sz w:val="24"/>
          <w:szCs w:val="24"/>
          <w:rtl/>
        </w:rPr>
        <w:t xml:space="preserve">עם זאת, יש לציין כי לעמדת היועץ המשפטי לממשלה </w:t>
      </w:r>
      <w:r>
        <w:rPr>
          <w:rFonts w:cs="David"/>
          <w:sz w:val="24"/>
          <w:szCs w:val="24"/>
          <w:rtl/>
        </w:rPr>
        <w:t>ברירת המחדל היא עריכת הבדיקה בנוכחות מלווה, לרבות בבדיקה פסיכיאטרית. במקרים חריגים המצדיקים זאת (כגון במקרה בו המלווה מפריע לביצוע הבדיקה), יכולה הוועדה להגביל את נוכחות המלווה או להוציאו. במקרה זה על חברי הוועדה לציין את החלטתם בפרוטוקול הדיון ולנמקה, כפועל יוצא מתפקידה המעין שיפוטי, כפיפותה לכללי הצדק הטבעי, ומזכויות היסוד העומדות למבוטח הנבדק</w:t>
      </w:r>
      <w:r>
        <w:rPr>
          <w:rFonts w:ascii="David" w:hAnsi="David" w:cs="David"/>
          <w:sz w:val="24"/>
          <w:szCs w:val="24"/>
          <w:rtl/>
        </w:rPr>
        <w:t>.</w:t>
      </w:r>
    </w:p>
    <w:p w:rsidR="000B74E6" w:rsidRDefault="000B74E6" w:rsidP="000B74E6">
      <w:pPr>
        <w:pStyle w:val="P00"/>
        <w:spacing w:before="0" w:line="360" w:lineRule="auto"/>
        <w:ind w:left="360"/>
        <w:rPr>
          <w:rFonts w:ascii="David" w:hAnsi="David" w:cs="David"/>
          <w:sz w:val="24"/>
          <w:szCs w:val="24"/>
          <w:rtl/>
        </w:rPr>
      </w:pPr>
      <w:r>
        <w:rPr>
          <w:rFonts w:ascii="David" w:hAnsi="David" w:cs="David"/>
          <w:sz w:val="24"/>
          <w:szCs w:val="24"/>
          <w:rtl/>
        </w:rPr>
        <w:t>עמדה זו היא גם עמדתו של המשיב, המוסד לביטוח לאומי.</w:t>
      </w:r>
    </w:p>
    <w:p w:rsidR="000B74E6" w:rsidRDefault="000B74E6" w:rsidP="000B74E6">
      <w:pPr>
        <w:pStyle w:val="P00"/>
        <w:spacing w:before="0" w:line="360" w:lineRule="auto"/>
        <w:ind w:left="360"/>
        <w:rPr>
          <w:rFonts w:ascii="David" w:hAnsi="David" w:cs="David"/>
          <w:sz w:val="24"/>
          <w:szCs w:val="24"/>
        </w:rPr>
      </w:pPr>
      <w:r>
        <w:rPr>
          <w:rFonts w:ascii="David" w:hAnsi="David" w:cs="David"/>
          <w:sz w:val="24"/>
          <w:szCs w:val="24"/>
          <w:rtl/>
        </w:rPr>
        <w:t xml:space="preserve">גם פסיקה עקבית של בתי הדין לעבודה קובעת כי ברירת המחדל היא שהבדיקה המבוצעת על ידי הוועדה הרפואית תיערך בנוכחות מלווה שהמבוטח חפץ שיהיה נוכח בבדיקה, וכי רק במקרים ראויים תוכל הוועדה להפעיל את סמכויותיה, בין אלה הטבועות, ובין אלה לפי </w:t>
      </w:r>
      <w:r>
        <w:rPr>
          <w:rFonts w:cs="David"/>
          <w:sz w:val="24"/>
          <w:szCs w:val="24"/>
          <w:rtl/>
        </w:rPr>
        <w:t>תקנה 9 לתקנות</w:t>
      </w:r>
      <w:r>
        <w:rPr>
          <w:rFonts w:ascii="David" w:hAnsi="David" w:cs="David"/>
          <w:sz w:val="24"/>
          <w:szCs w:val="24"/>
          <w:rtl/>
        </w:rPr>
        <w:t xml:space="preserve">, ולהורות על הוצאת המלווה מטעמים מיוחדים ויוצאי דופן (כגון: הפרעה לבדיקה וכד') – ר' </w:t>
      </w:r>
      <w:r>
        <w:rPr>
          <w:rFonts w:ascii="David" w:hAnsi="David" w:cs="David"/>
          <w:color w:val="333333"/>
          <w:sz w:val="24"/>
          <w:szCs w:val="24"/>
          <w:rtl/>
        </w:rPr>
        <w:t>ב"ל (ת"א) 4994-08 </w:t>
      </w:r>
      <w:r>
        <w:rPr>
          <w:rFonts w:ascii="David" w:hAnsi="David" w:cs="David"/>
          <w:b/>
          <w:bCs/>
          <w:color w:val="333333"/>
          <w:sz w:val="24"/>
          <w:szCs w:val="24"/>
          <w:rtl/>
        </w:rPr>
        <w:t>בנישו נ' המוסד לביטוח לאומי</w:t>
      </w:r>
      <w:r>
        <w:rPr>
          <w:rFonts w:ascii="David" w:hAnsi="David" w:cs="David"/>
          <w:color w:val="333333"/>
          <w:sz w:val="24"/>
          <w:szCs w:val="24"/>
          <w:rtl/>
        </w:rPr>
        <w:t xml:space="preserve"> (כב' השופט איטח) (22.12.08)</w:t>
      </w:r>
      <w:r>
        <w:rPr>
          <w:rFonts w:ascii="David" w:hAnsi="David" w:cs="David"/>
          <w:sz w:val="24"/>
          <w:szCs w:val="24"/>
          <w:rtl/>
        </w:rPr>
        <w:t xml:space="preserve">; </w:t>
      </w:r>
      <w:r>
        <w:rPr>
          <w:rFonts w:cs="David"/>
          <w:sz w:val="24"/>
          <w:szCs w:val="24"/>
          <w:rtl/>
        </w:rPr>
        <w:t xml:space="preserve">ב"ל (ת"א) 228-08-14 </w:t>
      </w:r>
      <w:r>
        <w:rPr>
          <w:rFonts w:cs="David"/>
          <w:b/>
          <w:bCs/>
          <w:sz w:val="24"/>
          <w:szCs w:val="24"/>
          <w:rtl/>
        </w:rPr>
        <w:t>שושני נ' המוסד לביטוח לאומי</w:t>
      </w:r>
      <w:r>
        <w:rPr>
          <w:rFonts w:cs="David"/>
          <w:sz w:val="24"/>
          <w:szCs w:val="24"/>
          <w:rtl/>
        </w:rPr>
        <w:t xml:space="preserve"> (כב' השופטת הרמל (11.2.16)</w:t>
      </w:r>
      <w:r>
        <w:rPr>
          <w:rFonts w:ascii="David" w:hAnsi="David" w:cs="David"/>
          <w:sz w:val="24"/>
          <w:szCs w:val="24"/>
          <w:rtl/>
        </w:rPr>
        <w:t xml:space="preserve">; </w:t>
      </w:r>
      <w:r>
        <w:rPr>
          <w:rFonts w:cs="David"/>
          <w:sz w:val="24"/>
          <w:szCs w:val="24"/>
          <w:rtl/>
        </w:rPr>
        <w:t xml:space="preserve">ב"ל (נצרת) 12824-02-18 </w:t>
      </w:r>
      <w:r>
        <w:rPr>
          <w:rFonts w:cs="David"/>
          <w:b/>
          <w:bCs/>
          <w:sz w:val="24"/>
          <w:szCs w:val="24"/>
          <w:rtl/>
        </w:rPr>
        <w:t>ג'עבר נ' המוסד לביטוח לאומי</w:t>
      </w:r>
      <w:r>
        <w:rPr>
          <w:rFonts w:cs="David"/>
          <w:sz w:val="24"/>
          <w:szCs w:val="24"/>
          <w:rtl/>
        </w:rPr>
        <w:t xml:space="preserve"> (כב' השופטת יעקובס) (5.8.18)</w:t>
      </w:r>
      <w:r>
        <w:rPr>
          <w:rFonts w:ascii="David" w:hAnsi="David" w:cs="David"/>
          <w:sz w:val="24"/>
          <w:szCs w:val="24"/>
          <w:rtl/>
        </w:rPr>
        <w:t>.</w:t>
      </w:r>
    </w:p>
    <w:p w:rsidR="000B74E6" w:rsidRDefault="000B74E6" w:rsidP="000B74E6">
      <w:pPr>
        <w:spacing w:line="360" w:lineRule="auto"/>
        <w:ind w:hanging="510"/>
        <w:jc w:val="both"/>
        <w:rPr>
          <w:rFonts w:ascii="David" w:hAnsi="David"/>
        </w:rPr>
      </w:pPr>
    </w:p>
    <w:p w:rsidR="000B74E6" w:rsidRDefault="000B74E6" w:rsidP="000B74E6">
      <w:pPr>
        <w:spacing w:line="360" w:lineRule="auto"/>
        <w:ind w:hanging="170"/>
        <w:jc w:val="both"/>
        <w:rPr>
          <w:rFonts w:ascii="David" w:hAnsi="David"/>
          <w:b/>
          <w:bCs/>
          <w:u w:val="single"/>
          <w:rtl/>
        </w:rPr>
      </w:pPr>
      <w:r>
        <w:rPr>
          <w:rFonts w:ascii="David" w:hAnsi="David"/>
          <w:b/>
          <w:bCs/>
          <w:u w:val="single"/>
          <w:rtl/>
        </w:rPr>
        <w:t>התייחסות המשיב והיועמ"ש לטענת העדר היריבות ולטענת החסינות</w:t>
      </w:r>
    </w:p>
    <w:p w:rsidR="000B74E6" w:rsidRDefault="000B74E6" w:rsidP="000B74E6">
      <w:pPr>
        <w:spacing w:line="360" w:lineRule="auto"/>
        <w:ind w:hanging="510"/>
        <w:jc w:val="both"/>
        <w:rPr>
          <w:rFonts w:ascii="David" w:hAnsi="David"/>
          <w:rtl/>
        </w:rPr>
      </w:pPr>
    </w:p>
    <w:p w:rsidR="000B74E6" w:rsidRDefault="000B74E6" w:rsidP="000B74E6">
      <w:pPr>
        <w:pStyle w:val="P00"/>
        <w:numPr>
          <w:ilvl w:val="0"/>
          <w:numId w:val="1"/>
        </w:numPr>
        <w:spacing w:before="0" w:line="360" w:lineRule="auto"/>
        <w:ind w:left="360" w:hanging="510"/>
        <w:rPr>
          <w:rFonts w:ascii="David" w:hAnsi="David" w:cs="David"/>
          <w:sz w:val="24"/>
          <w:szCs w:val="24"/>
        </w:rPr>
      </w:pPr>
      <w:r>
        <w:rPr>
          <w:rFonts w:ascii="David" w:hAnsi="David" w:cs="David"/>
          <w:sz w:val="24"/>
          <w:szCs w:val="24"/>
          <w:rtl/>
        </w:rPr>
        <w:t>בין הטענות המרכזיות העומדות להכרעה נמצאות טענת העדר היריבות וטענת החסינות.</w:t>
      </w:r>
    </w:p>
    <w:p w:rsidR="000B74E6" w:rsidRDefault="000B74E6" w:rsidP="000B74E6">
      <w:pPr>
        <w:pStyle w:val="P00"/>
        <w:spacing w:before="0" w:line="360" w:lineRule="auto"/>
        <w:ind w:left="360"/>
        <w:rPr>
          <w:rFonts w:ascii="David" w:hAnsi="David" w:cs="David"/>
          <w:sz w:val="24"/>
          <w:szCs w:val="24"/>
        </w:rPr>
      </w:pPr>
    </w:p>
    <w:p w:rsidR="000B74E6" w:rsidRDefault="000B74E6" w:rsidP="000B74E6">
      <w:pPr>
        <w:pStyle w:val="P00"/>
        <w:numPr>
          <w:ilvl w:val="0"/>
          <w:numId w:val="1"/>
        </w:numPr>
        <w:spacing w:before="0" w:line="360" w:lineRule="auto"/>
        <w:ind w:left="360" w:hanging="510"/>
        <w:rPr>
          <w:rFonts w:ascii="David" w:hAnsi="David" w:cs="David"/>
          <w:sz w:val="24"/>
          <w:szCs w:val="24"/>
        </w:rPr>
      </w:pPr>
      <w:r>
        <w:rPr>
          <w:rFonts w:ascii="David" w:hAnsi="David" w:cs="David"/>
          <w:sz w:val="24"/>
          <w:szCs w:val="24"/>
          <w:rtl/>
        </w:rPr>
        <w:t xml:space="preserve">בעוד שבקשת הסילוק של המוסד התרכזה בטענת העדר היריבות ה"טהורה" (ובטענות נוספות), ועניין החסינות נזכר בה באופן שולי, וכחלק מטענת העדר היריבות (סעיף 77 לבקשה והוא בלבד), התמקדה עמדת היועץ המשפטי לממשלה בעניין החסינות, והעדר היריבות נזכר בה רק כתוצאה מתחייבת ממסקנתו כי לוועדת הערעורים קיימת חסינות, ועקב כך אין יריבות </w:t>
      </w:r>
      <w:r>
        <w:rPr>
          <w:rFonts w:ascii="David" w:hAnsi="David" w:cs="David"/>
          <w:sz w:val="24"/>
          <w:szCs w:val="24"/>
          <w:rtl/>
        </w:rPr>
        <w:lastRenderedPageBreak/>
        <w:t>בין המבקשת לבין המשיב וגם לא בינה לבין גורם אחר כלשהו.</w:t>
      </w:r>
    </w:p>
    <w:p w:rsidR="000B74E6" w:rsidRDefault="000B74E6" w:rsidP="000B74E6">
      <w:pPr>
        <w:pStyle w:val="P00"/>
        <w:spacing w:before="0" w:line="360" w:lineRule="auto"/>
        <w:ind w:left="360"/>
        <w:rPr>
          <w:rFonts w:ascii="David" w:hAnsi="David" w:cs="David"/>
          <w:sz w:val="24"/>
          <w:szCs w:val="24"/>
        </w:rPr>
      </w:pPr>
      <w:r>
        <w:rPr>
          <w:rFonts w:ascii="David" w:hAnsi="David" w:cs="David"/>
          <w:sz w:val="24"/>
          <w:szCs w:val="24"/>
          <w:rtl/>
        </w:rPr>
        <w:t>היועץ המשפטי לממשלה לא התייחס כלל לשאלת היריבות ה"טהורה", דהיינו, אם תידחה עמדתו בסוגיית החסינות, מיהו הגורם האחראי על הוועדות הרפואיות לערעורים נגדו ניתן להגיש תביעה, האם אכן המל"ל, או שמא המדינה (באשר שר הרווחה הוא החותם על מינויים של חברי חלק לפחות מהוועדות הרפואיות).</w:t>
      </w:r>
    </w:p>
    <w:p w:rsidR="000B74E6" w:rsidRDefault="000B74E6" w:rsidP="000B74E6">
      <w:pPr>
        <w:spacing w:line="360" w:lineRule="auto"/>
        <w:ind w:hanging="510"/>
        <w:jc w:val="both"/>
        <w:rPr>
          <w:rFonts w:ascii="David" w:hAnsi="David"/>
          <w:rtl/>
        </w:rPr>
      </w:pPr>
    </w:p>
    <w:p w:rsidR="000B74E6" w:rsidRDefault="000B74E6" w:rsidP="000B74E6">
      <w:pPr>
        <w:spacing w:line="360" w:lineRule="auto"/>
        <w:ind w:hanging="170"/>
        <w:jc w:val="both"/>
        <w:rPr>
          <w:rFonts w:ascii="David" w:hAnsi="David"/>
          <w:b/>
          <w:bCs/>
          <w:u w:val="single"/>
          <w:rtl/>
        </w:rPr>
      </w:pPr>
      <w:r>
        <w:rPr>
          <w:rFonts w:ascii="David" w:hAnsi="David"/>
          <w:b/>
          <w:bCs/>
          <w:u w:val="single"/>
          <w:rtl/>
        </w:rPr>
        <w:t>באילו ועדות הרפואיות יש לדון במסגרת טענות העדר היריבות והחסינות שבבקשת הסילוק</w:t>
      </w:r>
    </w:p>
    <w:p w:rsidR="000B74E6" w:rsidRDefault="000B74E6" w:rsidP="000B74E6">
      <w:pPr>
        <w:spacing w:line="360" w:lineRule="auto"/>
        <w:ind w:hanging="510"/>
        <w:jc w:val="both"/>
        <w:rPr>
          <w:rFonts w:ascii="David" w:hAnsi="David"/>
          <w:rtl/>
        </w:rPr>
      </w:pPr>
    </w:p>
    <w:p w:rsidR="000B74E6" w:rsidRDefault="000B74E6" w:rsidP="000B74E6">
      <w:pPr>
        <w:pStyle w:val="P00"/>
        <w:numPr>
          <w:ilvl w:val="0"/>
          <w:numId w:val="1"/>
        </w:numPr>
        <w:spacing w:before="0" w:line="360" w:lineRule="auto"/>
        <w:ind w:left="360" w:hanging="510"/>
        <w:rPr>
          <w:rFonts w:ascii="David" w:hAnsi="David" w:cs="David"/>
          <w:sz w:val="24"/>
          <w:szCs w:val="24"/>
          <w:rtl/>
        </w:rPr>
      </w:pPr>
      <w:r>
        <w:rPr>
          <w:rFonts w:cs="David"/>
          <w:sz w:val="24"/>
          <w:szCs w:val="24"/>
          <w:rtl/>
        </w:rPr>
        <w:t xml:space="preserve">כפי שצוין לעיל, הגם שהמקרה שאירע למבקשת, אירע במהלך דיון בוועדה הרפואית לערעורים בענף נפגעי עבודה, הגדרת הקבוצה בבקשת האישור, היא </w:t>
      </w:r>
      <w:r>
        <w:rPr>
          <w:rFonts w:cs="David"/>
          <w:b/>
          <w:bCs/>
          <w:sz w:val="24"/>
          <w:szCs w:val="24"/>
          <w:rtl/>
        </w:rPr>
        <w:t xml:space="preserve">הגדרה רחבה ביותר </w:t>
      </w:r>
      <w:r>
        <w:rPr>
          <w:rFonts w:cs="David"/>
          <w:sz w:val="24"/>
          <w:szCs w:val="24"/>
          <w:rtl/>
        </w:rPr>
        <w:t xml:space="preserve">הכוללת את </w:t>
      </w:r>
      <w:r>
        <w:rPr>
          <w:rFonts w:cs="David"/>
          <w:b/>
          <w:bCs/>
          <w:sz w:val="24"/>
          <w:szCs w:val="24"/>
          <w:rtl/>
        </w:rPr>
        <w:t>כל הוועדות הרפואיות "מטעם המשיב"</w:t>
      </w:r>
      <w:r>
        <w:rPr>
          <w:rFonts w:cs="David"/>
          <w:sz w:val="24"/>
          <w:szCs w:val="24"/>
          <w:rtl/>
        </w:rPr>
        <w:t>. המבקשת לא הבחינה בין הוועדות השונות המופעלות על ידי הביטוח הלאומי, לא בין ועדות רפואיות המשמשות ערכאה ראשונה, לבין ועדות רפואיות המשמשות ערכאה שנייה (ועדות ערר), ולא בין הענפים השונים בביטוח הלאומי אשר בתחומם עוסקת הוועדה (למשל, ענף נכות כללית, ענף נכות נפגעי עבודה וכד'). האבחנה היחידה שנעשתה על ידה הייתה כי מדובר בוועדות אשר מקיימות דיון בתחום הנפשי.</w:t>
      </w:r>
    </w:p>
    <w:p w:rsidR="000B74E6" w:rsidRDefault="000B74E6" w:rsidP="0094636E">
      <w:pPr>
        <w:pStyle w:val="P00"/>
        <w:spacing w:before="0" w:line="360" w:lineRule="auto"/>
        <w:ind w:left="360"/>
        <w:rPr>
          <w:rFonts w:ascii="David" w:hAnsi="David" w:cs="David"/>
          <w:sz w:val="24"/>
          <w:szCs w:val="24"/>
        </w:rPr>
      </w:pPr>
      <w:r>
        <w:rPr>
          <w:rFonts w:cs="David"/>
          <w:sz w:val="24"/>
          <w:szCs w:val="24"/>
          <w:rtl/>
        </w:rPr>
        <w:t>בתצהירים הלא מעטים שצורפו לבקשת האישור, אשר תיארו מקרים דומים שאירעו ל</w:t>
      </w:r>
      <w:r w:rsidR="0094636E">
        <w:rPr>
          <w:rFonts w:cs="David" w:hint="cs"/>
          <w:sz w:val="24"/>
          <w:szCs w:val="24"/>
          <w:rtl/>
        </w:rPr>
        <w:t>מצהירי</w:t>
      </w:r>
      <w:r>
        <w:rPr>
          <w:rFonts w:cs="David"/>
          <w:sz w:val="24"/>
          <w:szCs w:val="24"/>
          <w:rtl/>
        </w:rPr>
        <w:t xml:space="preserve">ם במסגרת הופעתם </w:t>
      </w:r>
      <w:r w:rsidR="0094636E">
        <w:rPr>
          <w:rFonts w:cs="David" w:hint="cs"/>
          <w:sz w:val="24"/>
          <w:szCs w:val="24"/>
          <w:rtl/>
        </w:rPr>
        <w:t xml:space="preserve">כמייצגים </w:t>
      </w:r>
      <w:r>
        <w:rPr>
          <w:rFonts w:cs="David"/>
          <w:sz w:val="24"/>
          <w:szCs w:val="24"/>
          <w:rtl/>
        </w:rPr>
        <w:t>בוועדות רפואיות של הביטוח הלאומי, לא פורט לגבי הוועדות הנזכרות בהם, אם הוועדה הייתה מדרג ראשון או ועדת ערר, ואף לא לאיזה ענף השתייכה הוועדה</w:t>
      </w:r>
      <w:r>
        <w:rPr>
          <w:rFonts w:ascii="David" w:hAnsi="David" w:cs="David"/>
          <w:sz w:val="24"/>
          <w:szCs w:val="24"/>
          <w:rtl/>
        </w:rPr>
        <w:t>.</w:t>
      </w:r>
    </w:p>
    <w:p w:rsidR="000B74E6" w:rsidRDefault="000B74E6" w:rsidP="000B74E6">
      <w:pPr>
        <w:pStyle w:val="P00"/>
        <w:spacing w:before="0" w:line="360" w:lineRule="auto"/>
        <w:ind w:left="360"/>
        <w:rPr>
          <w:rFonts w:ascii="David" w:hAnsi="David" w:cs="David"/>
          <w:sz w:val="24"/>
          <w:szCs w:val="24"/>
        </w:rPr>
      </w:pPr>
    </w:p>
    <w:p w:rsidR="000B74E6" w:rsidRDefault="000B74E6" w:rsidP="000B74E6">
      <w:pPr>
        <w:pStyle w:val="P00"/>
        <w:numPr>
          <w:ilvl w:val="0"/>
          <w:numId w:val="1"/>
        </w:numPr>
        <w:spacing w:before="0" w:line="360" w:lineRule="auto"/>
        <w:ind w:left="360" w:hanging="510"/>
        <w:rPr>
          <w:rFonts w:ascii="David" w:hAnsi="David" w:cs="David"/>
          <w:sz w:val="24"/>
          <w:szCs w:val="24"/>
        </w:rPr>
      </w:pPr>
      <w:r>
        <w:rPr>
          <w:rFonts w:ascii="David" w:hAnsi="David" w:cs="David"/>
          <w:sz w:val="24"/>
          <w:szCs w:val="24"/>
          <w:rtl/>
        </w:rPr>
        <w:t xml:space="preserve">היועץ המשפטי לממשלה לא התייחס בעמדתו לכלל הוועדות הרפואיות הנזכרות בבקשת האישור, אלא לוועדה לערעורים בלבד. חוסר התייחסות זה הוסבר על ידו בכך, שמאחר שהמקרה אשר אירע למבקשת, כמתואר בבקשת האישור, התרחש בוועדה לערעורים במסגרת אגף נפגעי עבודה, לא מצא הוא לנכון להתייחס ליתר הוועדות הרפואיות הנזכרות בבקשת האישור, על מאפייניהן השונים. </w:t>
      </w:r>
    </w:p>
    <w:p w:rsidR="000B74E6" w:rsidRDefault="000B74E6" w:rsidP="000B74E6">
      <w:pPr>
        <w:pStyle w:val="P00"/>
        <w:spacing w:before="0" w:line="360" w:lineRule="auto"/>
        <w:ind w:left="360"/>
        <w:rPr>
          <w:rFonts w:ascii="David" w:hAnsi="David" w:cs="David"/>
          <w:sz w:val="24"/>
          <w:szCs w:val="24"/>
          <w:rtl/>
        </w:rPr>
      </w:pPr>
      <w:r>
        <w:rPr>
          <w:rFonts w:ascii="David" w:hAnsi="David" w:cs="David"/>
          <w:sz w:val="24"/>
          <w:szCs w:val="24"/>
          <w:rtl/>
        </w:rPr>
        <w:t>מכיוון שהיועץ המשפטי לממשלה לא הגיש רק עמדה אלא הודיע גם על התייצבותו בהליך, אין הוא מוגבל רק לסוגיה לגביה התבקש להגיש את עמדתו, וההתייחסות תהיה לעמדתו הכוללת.</w:t>
      </w:r>
    </w:p>
    <w:p w:rsidR="000B74E6" w:rsidRDefault="000B74E6" w:rsidP="000B74E6">
      <w:pPr>
        <w:pStyle w:val="ad"/>
        <w:spacing w:after="0" w:line="360" w:lineRule="auto"/>
        <w:ind w:left="340" w:hanging="510"/>
        <w:jc w:val="both"/>
        <w:rPr>
          <w:rFonts w:cs="David"/>
          <w:b/>
          <w:bCs/>
          <w:sz w:val="24"/>
          <w:szCs w:val="24"/>
          <w:rtl/>
        </w:rPr>
      </w:pPr>
    </w:p>
    <w:p w:rsidR="000B74E6" w:rsidRDefault="000B74E6" w:rsidP="000B74E6">
      <w:pPr>
        <w:pStyle w:val="P00"/>
        <w:numPr>
          <w:ilvl w:val="0"/>
          <w:numId w:val="1"/>
        </w:numPr>
        <w:spacing w:before="0" w:line="360" w:lineRule="auto"/>
        <w:ind w:left="360" w:hanging="510"/>
        <w:rPr>
          <w:rFonts w:ascii="David" w:hAnsi="David" w:cs="David"/>
          <w:sz w:val="24"/>
          <w:szCs w:val="24"/>
          <w:rtl/>
        </w:rPr>
      </w:pPr>
      <w:r>
        <w:rPr>
          <w:rFonts w:ascii="David" w:hAnsi="David" w:cs="David"/>
          <w:sz w:val="24"/>
          <w:szCs w:val="24"/>
          <w:rtl/>
        </w:rPr>
        <w:t>שקלתי לאילו מהוועדות הרפואיות הקיימות לפי חוק הביטוח הלאומי יש להתייחס במסגרת תובענה זו.</w:t>
      </w:r>
    </w:p>
    <w:p w:rsidR="000B74E6" w:rsidRDefault="000B74E6" w:rsidP="000B74E6">
      <w:pPr>
        <w:pStyle w:val="P00"/>
        <w:spacing w:before="0" w:line="360" w:lineRule="auto"/>
        <w:ind w:left="360"/>
        <w:rPr>
          <w:rFonts w:ascii="David" w:hAnsi="David" w:cs="David"/>
          <w:sz w:val="24"/>
          <w:szCs w:val="24"/>
        </w:rPr>
      </w:pPr>
      <w:r>
        <w:rPr>
          <w:rFonts w:ascii="David" w:hAnsi="David" w:cs="David"/>
          <w:b/>
          <w:bCs/>
          <w:sz w:val="24"/>
          <w:szCs w:val="24"/>
          <w:rtl/>
        </w:rPr>
        <w:t>עילה אישית קיימת למבקשת רק לגבי הוועדה לערעורים בענף נפגעי עבודה</w:t>
      </w:r>
      <w:r>
        <w:rPr>
          <w:rFonts w:ascii="David" w:hAnsi="David" w:cs="David"/>
          <w:sz w:val="24"/>
          <w:szCs w:val="24"/>
          <w:rtl/>
        </w:rPr>
        <w:t>.</w:t>
      </w:r>
    </w:p>
    <w:p w:rsidR="000B74E6" w:rsidRDefault="000B74E6" w:rsidP="000B74E6">
      <w:pPr>
        <w:pStyle w:val="P00"/>
        <w:spacing w:before="0" w:line="360" w:lineRule="auto"/>
        <w:ind w:left="360"/>
        <w:rPr>
          <w:rFonts w:ascii="David" w:hAnsi="David" w:cs="David"/>
          <w:sz w:val="24"/>
          <w:szCs w:val="24"/>
          <w:rtl/>
        </w:rPr>
      </w:pPr>
      <w:r>
        <w:rPr>
          <w:rFonts w:ascii="David" w:hAnsi="David" w:cs="David"/>
          <w:sz w:val="24"/>
          <w:szCs w:val="24"/>
          <w:rtl/>
        </w:rPr>
        <w:t xml:space="preserve">התצהירים הנוספים שצורפו לבקשת האישור אינם מציינים באילו ועדות מדובר, לא לעניין דרגתן (ראשונה או שנייה), ולא לעניין הענף אליו הן משתייכות. חותמי התצהירים אינם המבוטחים, אלא עורכי דין המייצגים מבוטחים בדיונים בפני הוועדות הרפואיות. לא נטען כי </w:t>
      </w:r>
      <w:r>
        <w:rPr>
          <w:rFonts w:ascii="David" w:hAnsi="David" w:cs="David"/>
          <w:sz w:val="24"/>
          <w:szCs w:val="24"/>
          <w:rtl/>
        </w:rPr>
        <w:lastRenderedPageBreak/>
        <w:t>יש להם עילה אישית, והם אף לא צורפו כמבקשים בבקשת האישור.</w:t>
      </w:r>
    </w:p>
    <w:p w:rsidR="000B74E6" w:rsidRDefault="000B74E6" w:rsidP="000B74E6">
      <w:pPr>
        <w:pStyle w:val="P00"/>
        <w:spacing w:before="0" w:line="360" w:lineRule="auto"/>
        <w:ind w:left="360"/>
        <w:rPr>
          <w:rFonts w:ascii="David" w:hAnsi="David" w:cs="David"/>
          <w:sz w:val="24"/>
          <w:szCs w:val="24"/>
          <w:rtl/>
        </w:rPr>
      </w:pPr>
      <w:r>
        <w:rPr>
          <w:rFonts w:ascii="David" w:hAnsi="David" w:cs="David"/>
          <w:sz w:val="24"/>
          <w:szCs w:val="24"/>
          <w:rtl/>
        </w:rPr>
        <w:t>גם היועץ המשפטי לממשלה התייחס כאמור לעיל רק לועדה הרפואית לערעורים שבענף נפגעי עבודה.</w:t>
      </w:r>
    </w:p>
    <w:p w:rsidR="000B74E6" w:rsidRDefault="000B74E6" w:rsidP="000B74E6">
      <w:pPr>
        <w:pStyle w:val="P00"/>
        <w:spacing w:before="0" w:line="360" w:lineRule="auto"/>
        <w:ind w:left="360"/>
        <w:rPr>
          <w:rFonts w:ascii="David" w:hAnsi="David" w:cs="David"/>
          <w:sz w:val="24"/>
          <w:szCs w:val="24"/>
          <w:rtl/>
        </w:rPr>
      </w:pPr>
      <w:r>
        <w:rPr>
          <w:rFonts w:ascii="David" w:hAnsi="David" w:cs="David"/>
          <w:sz w:val="24"/>
          <w:szCs w:val="24"/>
          <w:rtl/>
        </w:rPr>
        <w:t>יש לזכור כי לגבי כל אחת ואחת מהוועדות הרפואיות לפי חוק הביטוח הלאומי קיימות הוראות ספציפיות נפרדות שאינן זהות, ואף היועץ המשפטי לממשלה ציין זאת בסעיפים 10-11 להודעתו מיום 9.2.20 (בקשה מס' 24), ונביא להלן את הציטוט הבא מסעיף 11 הנ"ל:</w:t>
      </w:r>
    </w:p>
    <w:p w:rsidR="000B74E6" w:rsidRDefault="000B74E6" w:rsidP="000B74E6">
      <w:pPr>
        <w:pStyle w:val="P00"/>
        <w:spacing w:before="0" w:line="360" w:lineRule="auto"/>
        <w:ind w:left="360"/>
        <w:rPr>
          <w:rFonts w:ascii="David" w:hAnsi="David" w:cs="David"/>
          <w:sz w:val="24"/>
          <w:szCs w:val="24"/>
          <w:rtl/>
        </w:rPr>
      </w:pPr>
    </w:p>
    <w:p w:rsidR="000B74E6" w:rsidRDefault="000B74E6" w:rsidP="000B74E6">
      <w:pPr>
        <w:pStyle w:val="ad"/>
        <w:spacing w:after="0" w:line="360" w:lineRule="auto"/>
        <w:ind w:left="1076" w:right="851"/>
        <w:jc w:val="both"/>
        <w:rPr>
          <w:rFonts w:ascii="David" w:hAnsi="David" w:cs="David"/>
          <w:sz w:val="24"/>
          <w:szCs w:val="24"/>
          <w:rtl/>
        </w:rPr>
      </w:pPr>
      <w:r>
        <w:rPr>
          <w:rFonts w:ascii="David" w:hAnsi="David" w:cs="David"/>
          <w:b/>
          <w:bCs/>
          <w:sz w:val="24"/>
          <w:szCs w:val="24"/>
          <w:rtl/>
        </w:rPr>
        <w:t xml:space="preserve">"על הוועדות הללו </w:t>
      </w:r>
      <w:r>
        <w:rPr>
          <w:rFonts w:ascii="David" w:hAnsi="David" w:cs="David"/>
          <w:sz w:val="24"/>
          <w:szCs w:val="24"/>
          <w:rtl/>
        </w:rPr>
        <w:t>(ועדה מדרג ראשון וועדה מדרג שני – י.ק.)</w:t>
      </w:r>
      <w:r>
        <w:rPr>
          <w:rFonts w:ascii="David" w:hAnsi="David" w:cs="David"/>
          <w:b/>
          <w:bCs/>
          <w:sz w:val="24"/>
          <w:szCs w:val="24"/>
          <w:rtl/>
        </w:rPr>
        <w:t xml:space="preserve"> חלות מערכות דינים שונות בהתאם לענף </w:t>
      </w:r>
      <w:proofErr w:type="spellStart"/>
      <w:r>
        <w:rPr>
          <w:rFonts w:ascii="David" w:hAnsi="David" w:cs="David"/>
          <w:b/>
          <w:bCs/>
          <w:sz w:val="24"/>
          <w:szCs w:val="24"/>
          <w:rtl/>
        </w:rPr>
        <w:t>הביטוחי</w:t>
      </w:r>
      <w:proofErr w:type="spellEnd"/>
      <w:r>
        <w:rPr>
          <w:rFonts w:ascii="David" w:hAnsi="David" w:cs="David"/>
          <w:b/>
          <w:bCs/>
          <w:sz w:val="24"/>
          <w:szCs w:val="24"/>
          <w:rtl/>
        </w:rPr>
        <w:t xml:space="preserve"> הרלוונטי, ומשכך, הרכב הוועדה וכן זהות הרופאים עשוי להשתנות אף הוא בהתאם לדין הקובע בענף. כך, למשל, בעוד שבדרג הראשון בענף נפגעי עבודה הרופאים מתמנים על ידי שר העבודה, הרווחה והשירותים החברתיים, בענפי ביטוח אחרים יכול שרופאים מהדרג הראשון יתמנו על ידי המוסד לביטוח לאומי"</w:t>
      </w:r>
      <w:r>
        <w:rPr>
          <w:rFonts w:ascii="David" w:hAnsi="David" w:cs="David"/>
          <w:sz w:val="24"/>
          <w:szCs w:val="24"/>
          <w:rtl/>
        </w:rPr>
        <w:t>.</w:t>
      </w:r>
    </w:p>
    <w:p w:rsidR="000B74E6" w:rsidRDefault="000B74E6" w:rsidP="000B74E6">
      <w:pPr>
        <w:pStyle w:val="P00"/>
        <w:spacing w:before="0" w:line="360" w:lineRule="auto"/>
        <w:ind w:left="360"/>
        <w:rPr>
          <w:rFonts w:ascii="David" w:hAnsi="David" w:cs="David"/>
          <w:sz w:val="24"/>
          <w:szCs w:val="24"/>
          <w:rtl/>
        </w:rPr>
      </w:pPr>
    </w:p>
    <w:p w:rsidR="000B74E6" w:rsidRDefault="000B74E6" w:rsidP="000B74E6">
      <w:pPr>
        <w:pStyle w:val="P00"/>
        <w:numPr>
          <w:ilvl w:val="0"/>
          <w:numId w:val="1"/>
        </w:numPr>
        <w:spacing w:before="0" w:line="360" w:lineRule="auto"/>
        <w:ind w:left="360" w:hanging="510"/>
        <w:rPr>
          <w:rFonts w:ascii="David" w:hAnsi="David" w:cs="David"/>
          <w:sz w:val="24"/>
          <w:szCs w:val="24"/>
          <w:rtl/>
        </w:rPr>
      </w:pPr>
      <w:r>
        <w:rPr>
          <w:rFonts w:ascii="David" w:hAnsi="David" w:cs="David"/>
          <w:sz w:val="24"/>
          <w:szCs w:val="24"/>
          <w:rtl/>
        </w:rPr>
        <w:t xml:space="preserve">יצוין כי המוסד העלה את טענותיו בעניין זה במסגרת סעיפים 42, 148.6, 151-152 לתשובתו לבקשת האישור ובקשתו לסילוק על הסף. תשובת המבקשת לטענות אלה ניתנה בסעיף 38 לתשובתה לבקשת הסילוק ולתגובה לבקשת האישור, ונכתב בה כי אין בסיס לאבחנה בין ועדות רפואיות לפי פרקים שונים, שכן קיימת שאלה משותפת לכל מי שנאסר על מלווה מטעמו להיות נוכח בבדיקת ועדה רפואית. </w:t>
      </w:r>
    </w:p>
    <w:p w:rsidR="000B74E6" w:rsidRDefault="000B74E6" w:rsidP="000B74E6">
      <w:pPr>
        <w:pStyle w:val="P00"/>
        <w:spacing w:before="0" w:line="360" w:lineRule="auto"/>
        <w:ind w:left="360"/>
        <w:rPr>
          <w:rFonts w:ascii="David" w:hAnsi="David" w:cs="David"/>
          <w:sz w:val="24"/>
          <w:szCs w:val="24"/>
        </w:rPr>
      </w:pPr>
      <w:r>
        <w:rPr>
          <w:rFonts w:ascii="David" w:hAnsi="David" w:cs="David"/>
          <w:sz w:val="24"/>
          <w:szCs w:val="24"/>
          <w:rtl/>
        </w:rPr>
        <w:t>על כך יש לומר, כי גם בהינתן השאלה המשותפת האמורה לעיל, יש להקים תשתית עובדתית לכך שכלל הוועדות הרפואיות לפי חוק הביטוח הלאומי מתנהגות באותו אופן. כמו כן, גם אם קיימת שאלה משותפת, על המבקש בבקשת האישור לפרט את הוועדות השונות, ולהתייחס לשונוּת הקיימת ביניהן, בין ועדת דרג ראשון לוועדת דרג שני, ובין ועדות לפי ענפי הביטוח השונים, כשבעניין זה אין המדובר דווקא בשונוּת מבחינת הוצאת או אי הוצאת המייצג בזמן הבדיקה, אלא בשונוּת מבחינת הרכב הוועדה, אופן מינוי חברי הוועדה, הוראות החוק והתקנות המתייחסות לכל אחת מהוועדות, ועוד. שונוּת זו יכולה להשפיע על ההכרעה בסוגיית החסינות וגם בסוגיית היריבות הנדונות במסגרת החלטה זו.</w:t>
      </w:r>
    </w:p>
    <w:p w:rsidR="000B74E6" w:rsidRDefault="000B74E6" w:rsidP="000B74E6">
      <w:pPr>
        <w:pStyle w:val="P00"/>
        <w:spacing w:before="0" w:line="360" w:lineRule="auto"/>
        <w:ind w:left="360"/>
        <w:rPr>
          <w:rFonts w:ascii="David" w:hAnsi="David" w:cs="David"/>
          <w:sz w:val="24"/>
          <w:szCs w:val="24"/>
          <w:rtl/>
        </w:rPr>
      </w:pPr>
      <w:r>
        <w:rPr>
          <w:rFonts w:ascii="David" w:hAnsi="David" w:cs="David"/>
          <w:sz w:val="24"/>
          <w:szCs w:val="24"/>
          <w:rtl/>
        </w:rPr>
        <w:t>אף אחד מהצדדים, וגם לא היועץ המשפטי לממשלה, לא פרשו בפני בית המשפט תשתית עובדתית וחוקית מספקת, שתאפשר בשלב זה של הדיון להתייחס ולעשות את האבחנות הנדרשות בין סוגי הוועדות השונות, אשר יש בהן כדי להשפיע על ההכרעה בבקשת הסילוק על הסף.</w:t>
      </w:r>
    </w:p>
    <w:p w:rsidR="000B74E6" w:rsidRDefault="000B74E6" w:rsidP="000B74E6">
      <w:pPr>
        <w:pStyle w:val="P00"/>
        <w:spacing w:before="0" w:line="360" w:lineRule="auto"/>
        <w:ind w:left="360"/>
        <w:rPr>
          <w:rFonts w:ascii="David" w:hAnsi="David" w:cs="David"/>
          <w:sz w:val="24"/>
          <w:szCs w:val="24"/>
          <w:rtl/>
        </w:rPr>
      </w:pPr>
    </w:p>
    <w:p w:rsidR="000B74E6" w:rsidRDefault="000B74E6" w:rsidP="000B74E6">
      <w:pPr>
        <w:pStyle w:val="P00"/>
        <w:numPr>
          <w:ilvl w:val="0"/>
          <w:numId w:val="1"/>
        </w:numPr>
        <w:spacing w:before="0" w:line="360" w:lineRule="auto"/>
        <w:ind w:left="360" w:hanging="510"/>
        <w:rPr>
          <w:rFonts w:ascii="David" w:hAnsi="David" w:cs="David"/>
          <w:sz w:val="24"/>
          <w:szCs w:val="24"/>
          <w:rtl/>
        </w:rPr>
      </w:pPr>
      <w:r>
        <w:rPr>
          <w:rFonts w:ascii="David" w:hAnsi="David" w:cs="David"/>
          <w:sz w:val="24"/>
          <w:szCs w:val="24"/>
          <w:rtl/>
        </w:rPr>
        <w:t>בזהירות, אציין כי ייתכן שהדבר אינו נחוץ, שכן כפי שצוין לעיל, למבקשת קיימת עילה תביעה אישית אך ורק לגבי הוועדה לערעורים בענף נפגעי עבודה, ולא לגבי כל ועדה אחרת.</w:t>
      </w:r>
    </w:p>
    <w:p w:rsidR="000B74E6" w:rsidRDefault="000B74E6" w:rsidP="000B74E6">
      <w:pPr>
        <w:pStyle w:val="P00"/>
        <w:spacing w:before="0" w:line="360" w:lineRule="auto"/>
        <w:ind w:left="360"/>
        <w:rPr>
          <w:rFonts w:ascii="David" w:hAnsi="David" w:cs="David"/>
          <w:sz w:val="24"/>
          <w:szCs w:val="24"/>
          <w:rtl/>
        </w:rPr>
      </w:pPr>
      <w:r>
        <w:rPr>
          <w:rFonts w:ascii="David" w:hAnsi="David" w:cs="David"/>
          <w:sz w:val="24"/>
          <w:szCs w:val="24"/>
          <w:rtl/>
        </w:rPr>
        <w:lastRenderedPageBreak/>
        <w:t>כידוע, סוגיית העדר העילה האישית יכולה להתברר בתום הדיון בבקשת האישור, ואז, כשמתקיימים יתר התנאים הדרושים לאישור התובענה כייצוגית, יש להחליט מהן ההשלכות של העדר העילה האישית (מחיקת בקשת האישור או חיפוש תובע ייצוגי חלופי).</w:t>
      </w:r>
    </w:p>
    <w:p w:rsidR="000B74E6" w:rsidRDefault="000B74E6" w:rsidP="000B74E6">
      <w:pPr>
        <w:pStyle w:val="P00"/>
        <w:spacing w:before="0" w:line="360" w:lineRule="auto"/>
        <w:ind w:left="360"/>
        <w:rPr>
          <w:rFonts w:ascii="David" w:hAnsi="David" w:cs="David"/>
          <w:sz w:val="24"/>
          <w:szCs w:val="24"/>
          <w:rtl/>
        </w:rPr>
      </w:pPr>
    </w:p>
    <w:p w:rsidR="000B74E6" w:rsidRDefault="000B74E6" w:rsidP="000B74E6">
      <w:pPr>
        <w:pStyle w:val="P00"/>
        <w:spacing w:before="0" w:line="360" w:lineRule="auto"/>
        <w:ind w:left="360"/>
        <w:rPr>
          <w:rFonts w:ascii="David" w:hAnsi="David" w:cs="David"/>
          <w:sz w:val="24"/>
          <w:szCs w:val="24"/>
          <w:rtl/>
        </w:rPr>
      </w:pPr>
      <w:r>
        <w:rPr>
          <w:rFonts w:ascii="David" w:hAnsi="David" w:cs="David"/>
          <w:sz w:val="24"/>
          <w:szCs w:val="24"/>
          <w:rtl/>
        </w:rPr>
        <w:t>בענייננו, ברור כבר בשלב זה של הדיון כי למבקשת קיימת עילת תביעה אישית רק לגבי הדיונים בתחום הנפשי המתקיימים בוועדה לערעורים בענף נפגעי עבודה, ולא לגבי ועדות רפואיות אחרות (למבקשת אין גם עילת תביעה אישית בטענת השלטים, כפי שיובהר בהמשך). לפיכך, יכול ולא יהיה מקום לנהל את כל הדיון בבקשת האישור עד תומו, רק כדי לגלות בסיומו שהמבקשת נעדרת עילה אישית, למעט לגבי הוועדה לערעורים שנזכרה לעיל.</w:t>
      </w:r>
    </w:p>
    <w:p w:rsidR="000B74E6" w:rsidRDefault="000B74E6" w:rsidP="000B74E6">
      <w:pPr>
        <w:pStyle w:val="P00"/>
        <w:spacing w:before="0" w:line="360" w:lineRule="auto"/>
        <w:ind w:left="360"/>
        <w:rPr>
          <w:rFonts w:ascii="David" w:hAnsi="David" w:cs="David"/>
          <w:sz w:val="24"/>
          <w:szCs w:val="24"/>
          <w:rtl/>
        </w:rPr>
      </w:pPr>
      <w:r>
        <w:rPr>
          <w:rFonts w:ascii="David" w:hAnsi="David" w:cs="David"/>
          <w:sz w:val="24"/>
          <w:szCs w:val="24"/>
          <w:rtl/>
        </w:rPr>
        <w:t>ר' לעניין זה את דברי ב"כ המבקשת בסעיף 9 להתייחסותה לעמדת היועמ"ש, שם נכתב כי אם ייקבע, בניגוד לעמדת המבקשת, שאין לה עילת תביעה נגד הוועדה הרפואית לערעורים, בשל חסינות, מצדיק הדבר עשיית שימוש בסמכות בית המשפט לפי סעיף 8(ג) בחוק תובענות ייצוגיות ומתן הוראה על צירוף תובע ייצוגי נוסף, אשר קיימת לו עילת תביעה בנוגע לוועדה רפואית מדרג ראשון ו/או בתחום שאינו נפגעי עבודה.</w:t>
      </w:r>
    </w:p>
    <w:p w:rsidR="000B74E6" w:rsidRDefault="000B74E6" w:rsidP="000B74E6">
      <w:pPr>
        <w:pStyle w:val="P00"/>
        <w:spacing w:before="0" w:line="360" w:lineRule="auto"/>
        <w:ind w:left="360"/>
        <w:rPr>
          <w:rFonts w:ascii="David" w:hAnsi="David" w:cs="David"/>
          <w:sz w:val="24"/>
          <w:szCs w:val="24"/>
          <w:rtl/>
        </w:rPr>
      </w:pPr>
      <w:r>
        <w:rPr>
          <w:rFonts w:ascii="David" w:hAnsi="David" w:cs="David"/>
          <w:sz w:val="24"/>
          <w:szCs w:val="24"/>
          <w:rtl/>
        </w:rPr>
        <w:t>במסגרת בקשת הסילוק לא נשמעו טיעונים בשאלה זו, ולפיכך השלב הנוכחי אינו השלב המתאים לדון בסוגיית השלכות העדר העילה האישית כנזכר לעיל, ויהא צורך לדון בה בשלב מאוחר יותר במסגרת הדיון בבקשת האישור.</w:t>
      </w:r>
    </w:p>
    <w:p w:rsidR="000B74E6" w:rsidRDefault="000B74E6" w:rsidP="000B74E6">
      <w:pPr>
        <w:pStyle w:val="P00"/>
        <w:spacing w:before="0" w:line="360" w:lineRule="auto"/>
        <w:ind w:left="360"/>
        <w:rPr>
          <w:rFonts w:ascii="David" w:hAnsi="David" w:cs="David"/>
          <w:sz w:val="24"/>
          <w:szCs w:val="24"/>
          <w:rtl/>
        </w:rPr>
      </w:pPr>
    </w:p>
    <w:p w:rsidR="000B74E6" w:rsidRDefault="000B74E6" w:rsidP="000B74E6">
      <w:pPr>
        <w:pStyle w:val="P00"/>
        <w:numPr>
          <w:ilvl w:val="0"/>
          <w:numId w:val="1"/>
        </w:numPr>
        <w:spacing w:before="0" w:line="360" w:lineRule="auto"/>
        <w:ind w:left="360" w:hanging="510"/>
        <w:rPr>
          <w:rFonts w:ascii="David" w:hAnsi="David" w:cs="David"/>
          <w:sz w:val="24"/>
          <w:szCs w:val="24"/>
          <w:rtl/>
        </w:rPr>
      </w:pPr>
      <w:r>
        <w:rPr>
          <w:rFonts w:ascii="David" w:hAnsi="David" w:cs="David"/>
          <w:sz w:val="24"/>
          <w:szCs w:val="24"/>
          <w:rtl/>
        </w:rPr>
        <w:t>מכל מקום, במצב הדברים כפי שתואר לעיל, בהעדר פירוט מלא בבקשת האישור ובבקשת הסילוק (וכן בעמדת היועמ"ש) לגבי ועדות רפואיות אחרות, לא הוקמה תשתית מספקת על ידי המוסד (ואף לא על ידי היועמ"ש), אשר תצדיק היעתרות לטענות הסף של חסינות והעדר יריבות לגבי ועדות אלה, ולפיכך, בקשר אליהן, אין טענות אלה מתקבלות כטענות סף.</w:t>
      </w:r>
    </w:p>
    <w:p w:rsidR="000B74E6" w:rsidRDefault="000B74E6" w:rsidP="000B74E6">
      <w:pPr>
        <w:pStyle w:val="P00"/>
        <w:spacing w:before="0" w:line="360" w:lineRule="auto"/>
        <w:ind w:left="360"/>
        <w:rPr>
          <w:rFonts w:ascii="David" w:hAnsi="David" w:cs="David"/>
          <w:sz w:val="24"/>
          <w:szCs w:val="24"/>
        </w:rPr>
      </w:pPr>
    </w:p>
    <w:p w:rsidR="000B74E6" w:rsidRDefault="000B74E6" w:rsidP="000B74E6">
      <w:pPr>
        <w:pStyle w:val="P00"/>
        <w:numPr>
          <w:ilvl w:val="0"/>
          <w:numId w:val="1"/>
        </w:numPr>
        <w:spacing w:before="0" w:line="360" w:lineRule="auto"/>
        <w:ind w:left="360" w:hanging="510"/>
        <w:rPr>
          <w:rFonts w:ascii="David" w:hAnsi="David" w:cs="David"/>
          <w:sz w:val="24"/>
          <w:szCs w:val="24"/>
        </w:rPr>
      </w:pPr>
      <w:r>
        <w:rPr>
          <w:rFonts w:ascii="David" w:hAnsi="David" w:cs="David"/>
          <w:sz w:val="24"/>
          <w:szCs w:val="24"/>
          <w:rtl/>
        </w:rPr>
        <w:t xml:space="preserve">בהינתן כלל האמור לעיל, הדיון בטענות החסינות והעדר היריבות יתייחס </w:t>
      </w:r>
      <w:r>
        <w:rPr>
          <w:rFonts w:ascii="David" w:hAnsi="David" w:cs="David"/>
          <w:b/>
          <w:bCs/>
          <w:sz w:val="24"/>
          <w:szCs w:val="24"/>
          <w:u w:val="single"/>
          <w:rtl/>
        </w:rPr>
        <w:t>לוועדה הרפואית לערעורים שבענף נפגעי עבודה בלבד</w:t>
      </w:r>
      <w:r>
        <w:rPr>
          <w:rFonts w:ascii="David" w:hAnsi="David" w:cs="David"/>
          <w:sz w:val="24"/>
          <w:szCs w:val="24"/>
          <w:rtl/>
        </w:rPr>
        <w:t xml:space="preserve">, </w:t>
      </w:r>
      <w:r>
        <w:rPr>
          <w:rFonts w:ascii="David" w:hAnsi="David" w:cs="David"/>
          <w:b/>
          <w:bCs/>
          <w:sz w:val="24"/>
          <w:szCs w:val="24"/>
          <w:u w:val="single"/>
          <w:rtl/>
        </w:rPr>
        <w:t>שהיא היחידה לגביה קיימת עילה תביעה אישית של המבקשת</w:t>
      </w:r>
      <w:r>
        <w:rPr>
          <w:rFonts w:ascii="David" w:hAnsi="David" w:cs="David"/>
          <w:sz w:val="24"/>
          <w:szCs w:val="24"/>
          <w:rtl/>
        </w:rPr>
        <w:t>. אם תתקבל אחת לפחות משתי הטענות הנ"ל, דהיינו המבקשת תיוותר ללא עילת תביעה אישית, יידונו בהמשך השלכות האמור לעיל.</w:t>
      </w:r>
    </w:p>
    <w:p w:rsidR="000B74E6" w:rsidRDefault="000B74E6" w:rsidP="000B74E6">
      <w:pPr>
        <w:pStyle w:val="P00"/>
        <w:spacing w:before="0" w:line="360" w:lineRule="auto"/>
        <w:ind w:left="-150"/>
        <w:rPr>
          <w:rFonts w:ascii="David" w:hAnsi="David" w:cs="David"/>
          <w:sz w:val="24"/>
          <w:szCs w:val="24"/>
          <w:rtl/>
        </w:rPr>
      </w:pPr>
    </w:p>
    <w:p w:rsidR="000B74E6" w:rsidRDefault="000B74E6" w:rsidP="000B74E6">
      <w:pPr>
        <w:spacing w:line="360" w:lineRule="auto"/>
        <w:ind w:hanging="170"/>
        <w:jc w:val="both"/>
        <w:rPr>
          <w:rFonts w:ascii="David" w:hAnsi="David"/>
          <w:b/>
          <w:bCs/>
          <w:u w:val="single"/>
          <w:rtl/>
        </w:rPr>
      </w:pPr>
      <w:r>
        <w:rPr>
          <w:rFonts w:ascii="David" w:hAnsi="David"/>
          <w:b/>
          <w:bCs/>
          <w:u w:val="single"/>
          <w:rtl/>
        </w:rPr>
        <w:t>חסינות שיפוטית</w:t>
      </w:r>
    </w:p>
    <w:p w:rsidR="000B74E6" w:rsidRDefault="000B74E6" w:rsidP="000B74E6">
      <w:pPr>
        <w:pStyle w:val="P00"/>
        <w:spacing w:before="0" w:line="360" w:lineRule="auto"/>
        <w:ind w:left="360"/>
        <w:rPr>
          <w:rFonts w:ascii="David" w:hAnsi="David" w:cs="David"/>
          <w:sz w:val="24"/>
          <w:szCs w:val="24"/>
          <w:rtl/>
        </w:rPr>
      </w:pPr>
    </w:p>
    <w:p w:rsidR="000B74E6" w:rsidRDefault="000B74E6" w:rsidP="000B74E6">
      <w:pPr>
        <w:pStyle w:val="P00"/>
        <w:numPr>
          <w:ilvl w:val="0"/>
          <w:numId w:val="1"/>
        </w:numPr>
        <w:spacing w:before="0" w:line="360" w:lineRule="auto"/>
        <w:ind w:left="360" w:hanging="510"/>
        <w:rPr>
          <w:rFonts w:ascii="David" w:hAnsi="David" w:cs="David"/>
          <w:sz w:val="24"/>
          <w:szCs w:val="24"/>
        </w:rPr>
      </w:pPr>
      <w:r>
        <w:rPr>
          <w:rFonts w:ascii="David" w:hAnsi="David" w:cs="David"/>
          <w:sz w:val="24"/>
          <w:szCs w:val="24"/>
          <w:rtl/>
        </w:rPr>
        <w:t>החסינות השיפוטית קבועה ב</w:t>
      </w:r>
      <w:r w:rsidRPr="005B17A4">
        <w:rPr>
          <w:rFonts w:ascii="David" w:hAnsi="David" w:cs="David"/>
          <w:sz w:val="24"/>
          <w:szCs w:val="24"/>
          <w:rtl/>
        </w:rPr>
        <w:t>סעיף 8</w:t>
      </w:r>
      <w:r>
        <w:rPr>
          <w:rFonts w:ascii="David" w:hAnsi="David" w:cs="David"/>
          <w:sz w:val="24"/>
          <w:szCs w:val="24"/>
          <w:rtl/>
        </w:rPr>
        <w:t xml:space="preserve"> לפקודת הנזיקין [נוסח חדש] (להלן: </w:t>
      </w:r>
      <w:r>
        <w:rPr>
          <w:rFonts w:ascii="David" w:hAnsi="David" w:cs="David"/>
          <w:b/>
          <w:bCs/>
          <w:sz w:val="24"/>
          <w:szCs w:val="24"/>
          <w:rtl/>
        </w:rPr>
        <w:t>"פקודת הנזיקין"</w:t>
      </w:r>
      <w:r>
        <w:rPr>
          <w:rFonts w:ascii="David" w:hAnsi="David" w:cs="David"/>
          <w:sz w:val="24"/>
          <w:szCs w:val="24"/>
          <w:rtl/>
        </w:rPr>
        <w:t>), וניתנת לכל נושא משרה שיפוטית ולכל אדם המבצע פעולות שיפוט, בגין עוולה שבוצעה במילוי תפקידו השיפוטי. וזו לשון הסעיף:</w:t>
      </w:r>
    </w:p>
    <w:p w:rsidR="000B74E6" w:rsidRDefault="000B74E6" w:rsidP="000B74E6">
      <w:pPr>
        <w:pStyle w:val="Ruller40"/>
        <w:rPr>
          <w:rFonts w:ascii="David" w:hAnsi="David" w:cs="David"/>
          <w:sz w:val="24"/>
          <w:szCs w:val="24"/>
          <w:rtl/>
        </w:rPr>
      </w:pPr>
    </w:p>
    <w:p w:rsidR="000B74E6" w:rsidRPr="005B17A4" w:rsidRDefault="000B74E6" w:rsidP="000B74E6">
      <w:pPr>
        <w:pStyle w:val="ad"/>
        <w:spacing w:after="0" w:line="360" w:lineRule="auto"/>
        <w:ind w:left="1076" w:right="851"/>
        <w:jc w:val="both"/>
        <w:rPr>
          <w:rFonts w:ascii="David" w:hAnsi="David" w:cs="David"/>
          <w:b/>
          <w:bCs/>
          <w:rtl/>
        </w:rPr>
      </w:pPr>
      <w:r w:rsidRPr="005B17A4">
        <w:rPr>
          <w:rStyle w:val="default"/>
          <w:rFonts w:ascii="David" w:hAnsi="David" w:cs="David"/>
          <w:b/>
          <w:bCs/>
          <w:sz w:val="24"/>
          <w:szCs w:val="24"/>
          <w:rtl/>
        </w:rPr>
        <w:lastRenderedPageBreak/>
        <w:t>"אדם שהוא גופו בית משפט או בית דין או אחד מחבריהם, או שהוא ממלא כדין חובותיו של אדם כאמור, וכל אדם אחר המבצע פעולות שיפוט, לרבות בורר - לא תוגש נגדו תובענה על עוולה שעשה במילוי תפקידו השיפוטי"</w:t>
      </w:r>
      <w:r w:rsidRPr="005B17A4">
        <w:rPr>
          <w:rStyle w:val="default"/>
          <w:rFonts w:ascii="David" w:hAnsi="David" w:cs="David"/>
          <w:sz w:val="24"/>
          <w:szCs w:val="24"/>
          <w:rtl/>
        </w:rPr>
        <w:t>.</w:t>
      </w:r>
    </w:p>
    <w:p w:rsidR="000B74E6" w:rsidRDefault="000B74E6" w:rsidP="000B74E6">
      <w:pPr>
        <w:pStyle w:val="P00"/>
        <w:spacing w:before="0" w:line="360" w:lineRule="auto"/>
        <w:ind w:left="360"/>
        <w:rPr>
          <w:rFonts w:ascii="David" w:hAnsi="David" w:cs="David"/>
          <w:sz w:val="24"/>
          <w:szCs w:val="24"/>
        </w:rPr>
      </w:pPr>
    </w:p>
    <w:p w:rsidR="000B74E6" w:rsidRDefault="000B74E6" w:rsidP="000B74E6">
      <w:pPr>
        <w:pStyle w:val="P00"/>
        <w:numPr>
          <w:ilvl w:val="0"/>
          <w:numId w:val="1"/>
        </w:numPr>
        <w:spacing w:before="0" w:line="360" w:lineRule="auto"/>
        <w:ind w:left="360" w:hanging="510"/>
        <w:rPr>
          <w:rFonts w:ascii="David" w:hAnsi="David" w:cs="David"/>
          <w:sz w:val="24"/>
          <w:szCs w:val="24"/>
          <w:rtl/>
        </w:rPr>
      </w:pPr>
      <w:r>
        <w:rPr>
          <w:rFonts w:ascii="David" w:hAnsi="David" w:cs="David"/>
          <w:sz w:val="24"/>
          <w:szCs w:val="24"/>
          <w:rtl/>
        </w:rPr>
        <w:t xml:space="preserve">בע"א 324/82 </w:t>
      </w:r>
      <w:r>
        <w:rPr>
          <w:rFonts w:ascii="David" w:hAnsi="David" w:cs="David"/>
          <w:b/>
          <w:bCs/>
          <w:sz w:val="24"/>
          <w:szCs w:val="24"/>
          <w:rtl/>
        </w:rPr>
        <w:t>עיריית בני-ברק נ' רוטברד,</w:t>
      </w:r>
      <w:r>
        <w:rPr>
          <w:rFonts w:ascii="David" w:hAnsi="David" w:cs="David"/>
          <w:sz w:val="24"/>
          <w:szCs w:val="24"/>
          <w:rtl/>
        </w:rPr>
        <w:t xml:space="preserve"> פ"ד מה(4) 102 (1991) (להלן: </w:t>
      </w:r>
      <w:r>
        <w:rPr>
          <w:rFonts w:ascii="David" w:hAnsi="David" w:cs="David"/>
          <w:b/>
          <w:bCs/>
          <w:sz w:val="24"/>
          <w:szCs w:val="24"/>
          <w:rtl/>
        </w:rPr>
        <w:t>"עניין רוטברד"</w:t>
      </w:r>
      <w:r>
        <w:rPr>
          <w:rFonts w:ascii="David" w:hAnsi="David" w:cs="David"/>
          <w:sz w:val="24"/>
          <w:szCs w:val="24"/>
          <w:rtl/>
        </w:rPr>
        <w:t xml:space="preserve">) נדונה סוגיה של הענקת חסינות לוועדה מקומית לתכנון ולבנייה (להלן: </w:t>
      </w:r>
      <w:r>
        <w:rPr>
          <w:rFonts w:ascii="David" w:hAnsi="David" w:cs="David"/>
          <w:b/>
          <w:bCs/>
          <w:sz w:val="24"/>
          <w:szCs w:val="24"/>
          <w:rtl/>
        </w:rPr>
        <w:t>"הוועדה המקומית"</w:t>
      </w:r>
      <w:r>
        <w:rPr>
          <w:rFonts w:ascii="David" w:hAnsi="David" w:cs="David"/>
          <w:sz w:val="24"/>
          <w:szCs w:val="24"/>
          <w:rtl/>
        </w:rPr>
        <w:t>) מכוח סעיף 8 לפקודת הנזיקין. כב' השופט ברק (כתוארו דאז) קבע כי הגם ש</w:t>
      </w:r>
      <w:r>
        <w:rPr>
          <w:rFonts w:ascii="David" w:hAnsi="David" w:cs="David"/>
          <w:sz w:val="24"/>
          <w:szCs w:val="24"/>
          <w:rtl/>
          <w:lang w:eastAsia="en-US"/>
        </w:rPr>
        <w:t>הוועדה המקומית ממלאת פונקציה כעין-שיפוטית במתן רשיון בנייה</w:t>
      </w:r>
      <w:r>
        <w:rPr>
          <w:rFonts w:ascii="David" w:hAnsi="David" w:cs="David"/>
          <w:sz w:val="24"/>
          <w:szCs w:val="24"/>
          <w:rtl/>
        </w:rPr>
        <w:t xml:space="preserve">, אין לפונקציה זו רלוונטיות לעניין חסינות  מאחריות בנזיקין. בית המשפט קבע כי </w:t>
      </w:r>
      <w:r>
        <w:rPr>
          <w:rFonts w:ascii="David" w:hAnsi="David" w:cs="David"/>
          <w:b/>
          <w:bCs/>
          <w:sz w:val="24"/>
          <w:szCs w:val="24"/>
          <w:rtl/>
          <w:lang w:eastAsia="en-US"/>
        </w:rPr>
        <w:t>"אין כל צידוק ליתן חסינות מאחריות בנזיקין לוועדה מקומית המתרשלת</w:t>
      </w:r>
      <w:r>
        <w:rPr>
          <w:rFonts w:ascii="David" w:hAnsi="David" w:cs="David"/>
          <w:b/>
          <w:bCs/>
          <w:sz w:val="24"/>
          <w:szCs w:val="24"/>
          <w:lang w:eastAsia="en-US"/>
        </w:rPr>
        <w:t xml:space="preserve"> </w:t>
      </w:r>
      <w:r>
        <w:rPr>
          <w:rFonts w:ascii="David" w:hAnsi="David" w:cs="David"/>
          <w:b/>
          <w:bCs/>
          <w:sz w:val="24"/>
          <w:szCs w:val="24"/>
          <w:rtl/>
          <w:lang w:eastAsia="en-US"/>
        </w:rPr>
        <w:t>במתן היתר בנייה. במתן ההיתר מפעילה הוועדה המקומית פונקציה</w:t>
      </w:r>
      <w:r>
        <w:rPr>
          <w:rFonts w:ascii="David" w:hAnsi="David" w:cs="David"/>
          <w:b/>
          <w:bCs/>
          <w:sz w:val="24"/>
          <w:szCs w:val="24"/>
          <w:lang w:eastAsia="en-US"/>
        </w:rPr>
        <w:t xml:space="preserve"> </w:t>
      </w:r>
      <w:r>
        <w:rPr>
          <w:rFonts w:ascii="David" w:hAnsi="David" w:cs="David"/>
          <w:b/>
          <w:bCs/>
          <w:sz w:val="24"/>
          <w:szCs w:val="24"/>
          <w:rtl/>
          <w:lang w:eastAsia="en-US"/>
        </w:rPr>
        <w:t>שלטונית-ביצועית, אשר רשלנות בהגשמתה צריכה להטיל עליה אחריות אזרחית כמו על כל נושא תפקיד ציבורי-שלטוני המבצע פעילות שלטונית-ביצועית"</w:t>
      </w:r>
      <w:r>
        <w:rPr>
          <w:rFonts w:ascii="David" w:hAnsi="David" w:cs="David"/>
          <w:sz w:val="24"/>
          <w:szCs w:val="24"/>
          <w:rtl/>
        </w:rPr>
        <w:t xml:space="preserve">. השופט ברק הוסיף כי: </w:t>
      </w:r>
      <w:r>
        <w:rPr>
          <w:rFonts w:ascii="David" w:hAnsi="David" w:cs="David"/>
          <w:b/>
          <w:bCs/>
          <w:sz w:val="24"/>
          <w:szCs w:val="24"/>
          <w:rtl/>
        </w:rPr>
        <w:t>""</w:t>
      </w:r>
      <w:r>
        <w:rPr>
          <w:rFonts w:ascii="David" w:hAnsi="David" w:cs="David"/>
          <w:b/>
          <w:bCs/>
          <w:sz w:val="24"/>
          <w:szCs w:val="24"/>
          <w:rtl/>
          <w:lang w:eastAsia="en-US"/>
        </w:rPr>
        <w:t>פעולת שיפוט" לעניין</w:t>
      </w:r>
      <w:r>
        <w:rPr>
          <w:rFonts w:ascii="David" w:hAnsi="David" w:cs="David"/>
          <w:b/>
          <w:bCs/>
          <w:sz w:val="24"/>
          <w:szCs w:val="24"/>
          <w:lang w:eastAsia="en-US"/>
        </w:rPr>
        <w:t xml:space="preserve"> </w:t>
      </w:r>
      <w:r>
        <w:rPr>
          <w:rFonts w:ascii="David" w:hAnsi="David" w:cs="David"/>
          <w:b/>
          <w:bCs/>
          <w:sz w:val="24"/>
          <w:szCs w:val="24"/>
          <w:rtl/>
          <w:lang w:eastAsia="en-US"/>
        </w:rPr>
        <w:t>חסינות מאחריות בנזיקין קשורה לתפקיד השיפוטי, בו קיים אותו "שילוש", שבו ראובן (בעל התפקיד השיפוטי) מכריע בסכסוך בין שמעון לבין לוי (בעלי הדין), וזאת על-פי הליך דמוי משפט, אשר כתוצאת לוואי לו עשוי להיגרם נזק</w:t>
      </w:r>
      <w:r>
        <w:rPr>
          <w:rFonts w:ascii="David" w:hAnsi="David" w:cs="David"/>
          <w:b/>
          <w:bCs/>
          <w:sz w:val="24"/>
          <w:szCs w:val="24"/>
          <w:rtl/>
        </w:rPr>
        <w:t xml:space="preserve">. </w:t>
      </w:r>
      <w:r>
        <w:rPr>
          <w:rFonts w:ascii="David" w:hAnsi="David" w:cs="David"/>
          <w:b/>
          <w:bCs/>
          <w:sz w:val="24"/>
          <w:szCs w:val="24"/>
          <w:rtl/>
          <w:lang w:eastAsia="en-US"/>
        </w:rPr>
        <w:t>כדי להעניק חופש פעולה לשופט הוענקה לו חסינות מאחריות בכל הנוגע להתנהגותו ולהחלטתו במסגרת אותו הליך</w:t>
      </w:r>
      <w:r>
        <w:rPr>
          <w:rFonts w:ascii="David" w:hAnsi="David" w:cs="David"/>
          <w:b/>
          <w:bCs/>
          <w:sz w:val="24"/>
          <w:szCs w:val="24"/>
          <w:rtl/>
        </w:rPr>
        <w:t>"</w:t>
      </w:r>
      <w:r>
        <w:rPr>
          <w:rFonts w:ascii="David" w:hAnsi="David" w:cs="David"/>
          <w:sz w:val="24"/>
          <w:szCs w:val="24"/>
          <w:rtl/>
        </w:rPr>
        <w:t>.</w:t>
      </w:r>
    </w:p>
    <w:p w:rsidR="000B74E6" w:rsidRDefault="000B74E6" w:rsidP="000B74E6">
      <w:pPr>
        <w:pStyle w:val="P00"/>
        <w:spacing w:before="0" w:line="360" w:lineRule="auto"/>
        <w:ind w:left="360"/>
        <w:rPr>
          <w:rFonts w:ascii="David" w:hAnsi="David" w:cs="David"/>
          <w:b/>
          <w:bCs/>
          <w:sz w:val="24"/>
          <w:szCs w:val="24"/>
        </w:rPr>
      </w:pPr>
      <w:r>
        <w:rPr>
          <w:rFonts w:ascii="David" w:hAnsi="David" w:cs="David"/>
          <w:sz w:val="24"/>
          <w:szCs w:val="24"/>
          <w:rtl/>
        </w:rPr>
        <w:t xml:space="preserve">וכב' השופט ברק מסכם באלה המילים: </w:t>
      </w:r>
      <w:r>
        <w:rPr>
          <w:rFonts w:ascii="David" w:hAnsi="David" w:cs="David"/>
          <w:b/>
          <w:bCs/>
          <w:sz w:val="24"/>
          <w:szCs w:val="24"/>
          <w:rtl/>
        </w:rPr>
        <w:t>"</w:t>
      </w:r>
      <w:r>
        <w:rPr>
          <w:rFonts w:ascii="David" w:hAnsi="David" w:cs="David"/>
          <w:b/>
          <w:bCs/>
          <w:sz w:val="24"/>
          <w:szCs w:val="24"/>
          <w:rtl/>
          <w:lang w:eastAsia="en-US"/>
        </w:rPr>
        <w:t>אדם שאינו הוא גופו בית-משפט, אלא אך מבצע פעולות שיפוט, יוכל ליהנות מהחסינות הנתונה לרשות השופטת רק אם מתקיימים שני אלה: הפונקציה המבוצעת על-ידיו הינה, מבחינתם של דיני הנזיקין, פונקציה שיפוטית, וההליך אשר במסגרתו מבוצעת הפונקציה הוא הליך דמוי הליך שיפוטי</w:t>
      </w:r>
      <w:r>
        <w:rPr>
          <w:rFonts w:ascii="David" w:hAnsi="David" w:cs="David"/>
          <w:b/>
          <w:bCs/>
          <w:sz w:val="18"/>
          <w:szCs w:val="24"/>
          <w:rtl/>
          <w:lang w:eastAsia="en-US"/>
        </w:rPr>
        <w:t>"</w:t>
      </w:r>
      <w:r>
        <w:rPr>
          <w:rFonts w:cs="FrankRuehl"/>
          <w:rtl/>
          <w:lang w:eastAsia="en-US"/>
        </w:rPr>
        <w:t>.</w:t>
      </w:r>
    </w:p>
    <w:p w:rsidR="000B74E6" w:rsidRDefault="000B74E6" w:rsidP="000B74E6">
      <w:pPr>
        <w:pStyle w:val="P00"/>
        <w:spacing w:before="0" w:line="360" w:lineRule="auto"/>
        <w:ind w:left="360"/>
        <w:rPr>
          <w:rFonts w:ascii="David" w:hAnsi="David" w:cs="David"/>
          <w:sz w:val="24"/>
          <w:szCs w:val="24"/>
          <w:rtl/>
        </w:rPr>
      </w:pPr>
    </w:p>
    <w:p w:rsidR="000B74E6" w:rsidRDefault="000B74E6" w:rsidP="005B17A4">
      <w:pPr>
        <w:pStyle w:val="P00"/>
        <w:numPr>
          <w:ilvl w:val="0"/>
          <w:numId w:val="1"/>
        </w:numPr>
        <w:spacing w:before="0" w:line="360" w:lineRule="auto"/>
        <w:ind w:left="360" w:hanging="510"/>
        <w:rPr>
          <w:rFonts w:ascii="David" w:hAnsi="David" w:cs="David"/>
          <w:sz w:val="24"/>
          <w:szCs w:val="24"/>
        </w:rPr>
      </w:pPr>
      <w:r>
        <w:rPr>
          <w:rFonts w:ascii="David" w:hAnsi="David" w:cs="David"/>
          <w:sz w:val="24"/>
          <w:szCs w:val="24"/>
          <w:rtl/>
        </w:rPr>
        <w:t xml:space="preserve">פן נוסף של החסינות השיפוטית נדון בפסק הדין המנחה </w:t>
      </w:r>
      <w:r w:rsidR="005B17A4" w:rsidRPr="005B17A4">
        <w:rPr>
          <w:rFonts w:ascii="David" w:hAnsi="David" w:cs="David" w:hint="cs"/>
          <w:sz w:val="24"/>
          <w:szCs w:val="24"/>
          <w:rtl/>
        </w:rPr>
        <w:t xml:space="preserve">בעניין </w:t>
      </w:r>
      <w:r w:rsidR="005B17A4">
        <w:rPr>
          <w:rFonts w:ascii="David" w:hAnsi="David" w:cs="David"/>
          <w:b/>
          <w:bCs/>
          <w:sz w:val="24"/>
          <w:szCs w:val="24"/>
          <w:rtl/>
        </w:rPr>
        <w:t>עלי אדם</w:t>
      </w:r>
      <w:r>
        <w:rPr>
          <w:rFonts w:ascii="David" w:hAnsi="David" w:cs="David"/>
          <w:sz w:val="24"/>
          <w:szCs w:val="24"/>
          <w:rtl/>
        </w:rPr>
        <w:t xml:space="preserve">, שם נקבע כי החסינות המוענקת בסעיף 8 לפקודת הנזיקין היא חסינות </w:t>
      </w:r>
      <w:r>
        <w:rPr>
          <w:rFonts w:ascii="David" w:hAnsi="David" w:cs="David"/>
          <w:b/>
          <w:bCs/>
          <w:sz w:val="24"/>
          <w:szCs w:val="24"/>
          <w:rtl/>
        </w:rPr>
        <w:t>מהותית</w:t>
      </w:r>
      <w:r>
        <w:rPr>
          <w:rFonts w:ascii="David" w:hAnsi="David" w:cs="David"/>
          <w:sz w:val="24"/>
          <w:szCs w:val="24"/>
          <w:rtl/>
        </w:rPr>
        <w:t xml:space="preserve">, ולפיכך אין היא מוענקת רק לאדם או לבית המשפט הנזכר בסעיף, אלא גם למדינה, אשר לא ניתן לתבוע אותה באחריות שילוחית בגין עוולה שיפוטית, ואף לא באחריות ישירה. בית המשפט העליון הוסיף כי </w:t>
      </w:r>
      <w:r>
        <w:rPr>
          <w:rFonts w:ascii="David" w:hAnsi="David" w:cs="David"/>
          <w:b/>
          <w:bCs/>
          <w:sz w:val="24"/>
          <w:szCs w:val="24"/>
          <w:rtl/>
        </w:rPr>
        <w:t>"מתן אפשרות לתבוע את המדינה בגין מעשיו של נושא משרה שיפוטית מהווה למעשה עקיפה של החסינות השיפוטית והוא אינו מתיישב עם התכליות של חסינות זו, שכן אין הוא מבטיח את הגשמתן של תכליות אלה"</w:t>
      </w:r>
      <w:r>
        <w:rPr>
          <w:rFonts w:ascii="David" w:hAnsi="David" w:cs="David"/>
          <w:sz w:val="24"/>
          <w:szCs w:val="24"/>
          <w:rtl/>
        </w:rPr>
        <w:t xml:space="preserve"> (סעיף 19 בפסק הדין).</w:t>
      </w:r>
    </w:p>
    <w:p w:rsidR="000B74E6" w:rsidRDefault="000B74E6" w:rsidP="000B74E6">
      <w:pPr>
        <w:pStyle w:val="P00"/>
        <w:spacing w:before="0" w:line="360" w:lineRule="auto"/>
        <w:ind w:left="360"/>
        <w:rPr>
          <w:rFonts w:ascii="David" w:hAnsi="David" w:cs="David"/>
          <w:sz w:val="24"/>
          <w:szCs w:val="24"/>
        </w:rPr>
      </w:pPr>
      <w:r>
        <w:rPr>
          <w:rFonts w:ascii="David" w:hAnsi="David" w:cs="David"/>
          <w:sz w:val="24"/>
          <w:szCs w:val="24"/>
          <w:rtl/>
        </w:rPr>
        <w:t xml:space="preserve">עוד נקבע כי </w:t>
      </w:r>
      <w:r>
        <w:rPr>
          <w:rFonts w:ascii="David" w:hAnsi="David" w:cs="David"/>
          <w:b/>
          <w:bCs/>
          <w:sz w:val="24"/>
          <w:szCs w:val="24"/>
          <w:rtl/>
        </w:rPr>
        <w:t>"...אין מקום לענין זה לאבחנות בין מקרים של "רשלנות", "רשלנות רבתי" או "רשלנות בוטה מאוד" ושאר אבחנות כיוצא באלה"</w:t>
      </w:r>
      <w:r>
        <w:rPr>
          <w:rFonts w:ascii="David" w:hAnsi="David" w:cs="David"/>
          <w:sz w:val="24"/>
          <w:szCs w:val="24"/>
          <w:rtl/>
        </w:rPr>
        <w:t xml:space="preserve"> (סעיף 23 בפסק הדין), אבחנות שנקבעו בפסיקות סותרות של הערכאות הנמוכות, בתקופה שקדמה למתן פסק הדין בעניין </w:t>
      </w:r>
      <w:r>
        <w:rPr>
          <w:rFonts w:ascii="David" w:hAnsi="David" w:cs="David"/>
          <w:b/>
          <w:bCs/>
          <w:sz w:val="24"/>
          <w:szCs w:val="24"/>
          <w:rtl/>
        </w:rPr>
        <w:t>עלי אדם</w:t>
      </w:r>
      <w:r>
        <w:rPr>
          <w:rFonts w:ascii="David" w:hAnsi="David" w:cs="David"/>
          <w:sz w:val="24"/>
          <w:szCs w:val="24"/>
          <w:rtl/>
        </w:rPr>
        <w:t>.</w:t>
      </w:r>
    </w:p>
    <w:p w:rsidR="000B74E6" w:rsidRDefault="000B74E6" w:rsidP="000B74E6">
      <w:pPr>
        <w:pStyle w:val="P00"/>
        <w:spacing w:before="0" w:line="360" w:lineRule="auto"/>
        <w:ind w:left="360"/>
        <w:rPr>
          <w:rFonts w:ascii="David" w:hAnsi="David" w:cs="David"/>
          <w:sz w:val="24"/>
          <w:szCs w:val="24"/>
          <w:rtl/>
        </w:rPr>
      </w:pPr>
      <w:r>
        <w:rPr>
          <w:rFonts w:ascii="David" w:hAnsi="David" w:cs="David"/>
          <w:sz w:val="24"/>
          <w:szCs w:val="24"/>
          <w:rtl/>
        </w:rPr>
        <w:t>בצד זאת, הושארו בצריך עיון שאלות בדבר היקפה של החסינות השיפוטית</w:t>
      </w:r>
      <w:r>
        <w:rPr>
          <w:rFonts w:ascii="David" w:hAnsi="David" w:cs="David"/>
          <w:sz w:val="22"/>
          <w:szCs w:val="22"/>
          <w:rtl/>
        </w:rPr>
        <w:t xml:space="preserve"> </w:t>
      </w:r>
      <w:r>
        <w:rPr>
          <w:rFonts w:ascii="David" w:hAnsi="David" w:cs="David"/>
          <w:b/>
          <w:bCs/>
          <w:sz w:val="22"/>
          <w:szCs w:val="22"/>
          <w:rtl/>
        </w:rPr>
        <w:t>"</w:t>
      </w:r>
      <w:r>
        <w:rPr>
          <w:rFonts w:ascii="David" w:hAnsi="David" w:cs="David"/>
          <w:b/>
          <w:bCs/>
          <w:sz w:val="24"/>
          <w:szCs w:val="24"/>
          <w:rtl/>
        </w:rPr>
        <w:t xml:space="preserve">בהתייחס לשאלות: מה גבולותיה של פעולה "במילוי התפקיד השיפוטי", והאם החסינות השיפוטית </w:t>
      </w:r>
      <w:r>
        <w:rPr>
          <w:rFonts w:ascii="David" w:hAnsi="David" w:cs="David"/>
          <w:b/>
          <w:bCs/>
          <w:sz w:val="24"/>
          <w:szCs w:val="24"/>
          <w:rtl/>
        </w:rPr>
        <w:lastRenderedPageBreak/>
        <w:t>כוללת גם מעשים שנעשו על ידי נושא משרה שיפוטית בזדון תוך שימוש לרעה בסמכות"</w:t>
      </w:r>
      <w:r>
        <w:rPr>
          <w:rFonts w:ascii="David" w:hAnsi="David" w:cs="David"/>
          <w:sz w:val="24"/>
          <w:szCs w:val="24"/>
          <w:rtl/>
        </w:rPr>
        <w:t>.</w:t>
      </w:r>
    </w:p>
    <w:p w:rsidR="000B74E6" w:rsidRDefault="000B74E6" w:rsidP="000B74E6">
      <w:pPr>
        <w:pStyle w:val="P00"/>
        <w:spacing w:before="0" w:line="360" w:lineRule="auto"/>
        <w:ind w:left="360"/>
        <w:rPr>
          <w:rFonts w:ascii="David" w:hAnsi="David" w:cs="David"/>
          <w:sz w:val="24"/>
          <w:szCs w:val="24"/>
        </w:rPr>
      </w:pPr>
    </w:p>
    <w:p w:rsidR="000B74E6" w:rsidRDefault="000B74E6" w:rsidP="000B74E6">
      <w:pPr>
        <w:pStyle w:val="P00"/>
        <w:numPr>
          <w:ilvl w:val="0"/>
          <w:numId w:val="1"/>
        </w:numPr>
        <w:spacing w:before="0" w:line="360" w:lineRule="auto"/>
        <w:ind w:left="360" w:hanging="510"/>
        <w:rPr>
          <w:rFonts w:ascii="David" w:hAnsi="David" w:cs="David"/>
          <w:sz w:val="24"/>
          <w:szCs w:val="24"/>
          <w:rtl/>
        </w:rPr>
      </w:pPr>
      <w:r>
        <w:rPr>
          <w:rFonts w:ascii="David" w:hAnsi="David" w:cs="David"/>
          <w:sz w:val="24"/>
          <w:szCs w:val="24"/>
          <w:rtl/>
        </w:rPr>
        <w:t xml:space="preserve">עילת התביעה בענייננו מבוססת על טענה להפרת סעיף 19ג לחוק השוויון הקובע באופן כללי כי אין מפלים אדם עם מוגבלות, ועל הפרת סעיף 19ו לחוק האמור, לפיו </w:t>
      </w:r>
      <w:r>
        <w:rPr>
          <w:rStyle w:val="default"/>
          <w:rFonts w:ascii="David" w:hAnsi="David" w:cs="David"/>
          <w:rtl/>
        </w:rPr>
        <w:t>מי שעיסוקו במתן שירות ציבורי, לא יפלה אדם מחמת מוגבלותו</w:t>
      </w:r>
      <w:r>
        <w:rPr>
          <w:rFonts w:ascii="David" w:hAnsi="David" w:cs="David"/>
          <w:sz w:val="24"/>
          <w:szCs w:val="24"/>
          <w:rtl/>
        </w:rPr>
        <w:t xml:space="preserve"> בעניינים המפורטים באותו סעיף. נטען כי המבקשת וכן מבוטחי המוסד הנבדקים על ידי ועדה רפואית בגין מוגבלותם הפיסית, הנפשית או השכלית, מקיימים את הגדרת "אדם עם מוגבלות" שבחוק השוויון, ולפיכך חוסים הם תחת הגנת החוק האמור. לפי הוראות סעיף 19נא לחוק השוויון, הפרת סעיפים 19ג ו-19ו לחוק </w:t>
      </w:r>
      <w:r>
        <w:rPr>
          <w:rFonts w:ascii="David" w:hAnsi="David" w:cs="David"/>
          <w:b/>
          <w:bCs/>
          <w:sz w:val="24"/>
          <w:szCs w:val="24"/>
          <w:u w:val="single"/>
          <w:rtl/>
        </w:rPr>
        <w:t>מהווה עוולה אזרחית</w:t>
      </w:r>
      <w:r>
        <w:rPr>
          <w:rFonts w:ascii="David" w:hAnsi="David" w:cs="David"/>
          <w:sz w:val="24"/>
          <w:szCs w:val="24"/>
          <w:rtl/>
        </w:rPr>
        <w:t xml:space="preserve">, והוראות פקודת הנזיקין יחולו עליה. לפיכך יש מקום לבחינת </w:t>
      </w:r>
      <w:r>
        <w:rPr>
          <w:rFonts w:ascii="David" w:hAnsi="David" w:cs="David"/>
          <w:b/>
          <w:bCs/>
          <w:sz w:val="24"/>
          <w:szCs w:val="24"/>
          <w:rtl/>
        </w:rPr>
        <w:t>החסינות השיפוטית</w:t>
      </w:r>
      <w:r>
        <w:rPr>
          <w:rFonts w:ascii="David" w:hAnsi="David" w:cs="David"/>
          <w:sz w:val="24"/>
          <w:szCs w:val="24"/>
          <w:rtl/>
        </w:rPr>
        <w:t xml:space="preserve"> בהתאם לסעיף 8 לפקודת הנזיקין.</w:t>
      </w:r>
    </w:p>
    <w:p w:rsidR="000B74E6" w:rsidRDefault="000B74E6" w:rsidP="000B74E6">
      <w:pPr>
        <w:pStyle w:val="P00"/>
        <w:spacing w:before="0" w:line="360" w:lineRule="auto"/>
        <w:ind w:left="360"/>
        <w:rPr>
          <w:rFonts w:ascii="David" w:hAnsi="David" w:cs="David"/>
          <w:sz w:val="24"/>
          <w:szCs w:val="24"/>
        </w:rPr>
      </w:pPr>
    </w:p>
    <w:p w:rsidR="000B74E6" w:rsidRDefault="000B74E6" w:rsidP="000B74E6">
      <w:pPr>
        <w:pStyle w:val="P00"/>
        <w:numPr>
          <w:ilvl w:val="0"/>
          <w:numId w:val="1"/>
        </w:numPr>
        <w:spacing w:before="0" w:line="360" w:lineRule="auto"/>
        <w:ind w:left="360" w:hanging="510"/>
        <w:rPr>
          <w:rFonts w:ascii="David" w:hAnsi="David" w:cs="David"/>
          <w:sz w:val="24"/>
          <w:szCs w:val="24"/>
        </w:rPr>
      </w:pPr>
      <w:r>
        <w:rPr>
          <w:rFonts w:ascii="David" w:hAnsi="David" w:cs="David"/>
          <w:sz w:val="24"/>
          <w:szCs w:val="24"/>
          <w:rtl/>
        </w:rPr>
        <w:t xml:space="preserve">לאורם של פסקי הדין בעניין </w:t>
      </w:r>
      <w:r>
        <w:rPr>
          <w:rFonts w:ascii="David" w:hAnsi="David" w:cs="David"/>
          <w:b/>
          <w:bCs/>
          <w:sz w:val="24"/>
          <w:szCs w:val="24"/>
          <w:rtl/>
        </w:rPr>
        <w:t>רוטברד</w:t>
      </w:r>
      <w:r>
        <w:rPr>
          <w:rFonts w:ascii="David" w:hAnsi="David" w:cs="David"/>
          <w:sz w:val="24"/>
          <w:szCs w:val="24"/>
          <w:rtl/>
        </w:rPr>
        <w:t xml:space="preserve"> ובעניין </w:t>
      </w:r>
      <w:r>
        <w:rPr>
          <w:rFonts w:ascii="David" w:hAnsi="David" w:cs="David"/>
          <w:b/>
          <w:bCs/>
          <w:sz w:val="24"/>
          <w:szCs w:val="24"/>
          <w:rtl/>
        </w:rPr>
        <w:t>עלי אדם</w:t>
      </w:r>
      <w:r>
        <w:rPr>
          <w:rFonts w:ascii="David" w:hAnsi="David" w:cs="David"/>
          <w:sz w:val="24"/>
          <w:szCs w:val="24"/>
          <w:rtl/>
        </w:rPr>
        <w:t>, השאלה המרכזית אותה יש לבחון היא, האם חוסה הוועדה לערעורים והחלטותיה הנטענות תחת כנפי החסינות השיפוטית מושא סעיף 8 לפקודת הנזיקין.</w:t>
      </w:r>
    </w:p>
    <w:p w:rsidR="000B74E6" w:rsidRDefault="000B74E6" w:rsidP="000B74E6">
      <w:pPr>
        <w:pStyle w:val="P00"/>
        <w:spacing w:before="0" w:line="360" w:lineRule="auto"/>
        <w:ind w:left="360"/>
        <w:rPr>
          <w:rFonts w:ascii="David" w:hAnsi="David" w:cs="David"/>
          <w:sz w:val="24"/>
          <w:szCs w:val="24"/>
        </w:rPr>
      </w:pPr>
    </w:p>
    <w:p w:rsidR="000B74E6" w:rsidRDefault="000B74E6" w:rsidP="000B74E6">
      <w:pPr>
        <w:pStyle w:val="P00"/>
        <w:numPr>
          <w:ilvl w:val="0"/>
          <w:numId w:val="1"/>
        </w:numPr>
        <w:spacing w:before="0" w:line="360" w:lineRule="auto"/>
        <w:ind w:left="360" w:hanging="510"/>
        <w:rPr>
          <w:rFonts w:ascii="David" w:hAnsi="David" w:cs="David"/>
          <w:sz w:val="24"/>
          <w:szCs w:val="24"/>
        </w:rPr>
      </w:pPr>
      <w:r>
        <w:rPr>
          <w:rFonts w:ascii="David" w:hAnsi="David" w:cs="David"/>
          <w:sz w:val="24"/>
          <w:szCs w:val="24"/>
          <w:rtl/>
        </w:rPr>
        <w:t xml:space="preserve">פרק ה' בחוק הביטוח הלאומי עוסק בביטוח נפגעי עבודה. סעיף 118 בחוק העוסק בקביעת דרגת נכות של נפגעי עבודה, קובע כי רופא או ועדה רפואית יקבעו לפי כללים שנקבעו בתקנות, אם נכות שנגרמה למבוטח בעבודתו נובעת מהפגיעה בעבודה ובאיזו מידה, וכן את דרגת הנכות. סעיף 122 בחוק, קובע כי </w:t>
      </w:r>
      <w:r>
        <w:rPr>
          <w:rFonts w:ascii="David" w:hAnsi="David" w:cs="David"/>
          <w:b/>
          <w:bCs/>
          <w:sz w:val="24"/>
          <w:szCs w:val="24"/>
          <w:rtl/>
        </w:rPr>
        <w:t>"הרואה את עצמו נפגע מהחלטה של רופא או של ועדה רפואית, רשאי בתנאים שנקבעו, לערור עליה לפני הוועדה הרפואית לערעורים"</w:t>
      </w:r>
      <w:r>
        <w:rPr>
          <w:rFonts w:ascii="David" w:hAnsi="David" w:cs="David"/>
          <w:sz w:val="24"/>
          <w:szCs w:val="24"/>
          <w:rtl/>
        </w:rPr>
        <w:t>. סעיף 123 בחוק קובע ניתן לערער על החלטת הוועדה הרפואית לערעורים בשאלה משפטית בלבד בפני בית הדין האזורי לעבודה.</w:t>
      </w:r>
    </w:p>
    <w:p w:rsidR="000B74E6" w:rsidRDefault="000B74E6" w:rsidP="000B74E6">
      <w:pPr>
        <w:pStyle w:val="P00"/>
        <w:spacing w:before="0" w:line="360" w:lineRule="auto"/>
        <w:ind w:left="360"/>
        <w:rPr>
          <w:rFonts w:ascii="David" w:hAnsi="David" w:cs="David"/>
          <w:sz w:val="24"/>
          <w:szCs w:val="24"/>
        </w:rPr>
      </w:pPr>
    </w:p>
    <w:p w:rsidR="000B74E6" w:rsidRDefault="000B74E6" w:rsidP="000B74E6">
      <w:pPr>
        <w:pStyle w:val="P00"/>
        <w:numPr>
          <w:ilvl w:val="0"/>
          <w:numId w:val="1"/>
        </w:numPr>
        <w:spacing w:before="0" w:line="360" w:lineRule="auto"/>
        <w:ind w:left="360" w:hanging="510"/>
        <w:rPr>
          <w:rFonts w:ascii="David" w:hAnsi="David" w:cs="David"/>
          <w:sz w:val="24"/>
          <w:szCs w:val="24"/>
        </w:rPr>
      </w:pPr>
      <w:r>
        <w:rPr>
          <w:rFonts w:ascii="David" w:hAnsi="David" w:cs="David"/>
          <w:sz w:val="24"/>
          <w:szCs w:val="24"/>
          <w:rtl/>
        </w:rPr>
        <w:t>תקנה 27(א) בתקנות קובעת זכות, הן של המבוטח, והן של המוסד, להגיש ערעור לועדה לערעורים על החלטה של הוועדה הרפואית.</w:t>
      </w:r>
    </w:p>
    <w:p w:rsidR="000B74E6" w:rsidRDefault="000B74E6" w:rsidP="000B74E6">
      <w:pPr>
        <w:pStyle w:val="P00"/>
        <w:spacing w:before="0" w:line="360" w:lineRule="auto"/>
        <w:ind w:left="360"/>
        <w:rPr>
          <w:rFonts w:ascii="David" w:hAnsi="David" w:cs="David"/>
          <w:sz w:val="24"/>
          <w:szCs w:val="24"/>
        </w:rPr>
      </w:pPr>
      <w:r>
        <w:rPr>
          <w:rFonts w:ascii="David" w:hAnsi="David" w:cs="David"/>
          <w:sz w:val="24"/>
          <w:szCs w:val="24"/>
          <w:rtl/>
        </w:rPr>
        <w:t>תקנה 27(ב) בתקנות קובעת כי ועדה לערעורים תורכב משלושה רופאים אשר שמותיהם כלולים ברשימת חברי ועדות רפואיות לערעורים שנקבעו על ידי שר העבודה, ואשר יוזמנו על ידי מזכיר ועדות (שהוא עובד המוסד).</w:t>
      </w:r>
    </w:p>
    <w:p w:rsidR="000B74E6" w:rsidRDefault="000B74E6" w:rsidP="000B74E6">
      <w:pPr>
        <w:pStyle w:val="P00"/>
        <w:spacing w:before="0" w:line="360" w:lineRule="auto"/>
        <w:ind w:left="360"/>
        <w:rPr>
          <w:rFonts w:ascii="David" w:hAnsi="David" w:cs="David"/>
          <w:sz w:val="24"/>
          <w:szCs w:val="24"/>
          <w:rtl/>
        </w:rPr>
      </w:pPr>
      <w:r>
        <w:rPr>
          <w:rFonts w:ascii="David" w:hAnsi="David" w:cs="David"/>
          <w:sz w:val="24"/>
          <w:szCs w:val="24"/>
          <w:rtl/>
        </w:rPr>
        <w:t>תקנה 30(א) בתקנות קובעת כי:</w:t>
      </w:r>
    </w:p>
    <w:p w:rsidR="007D335A" w:rsidRDefault="007D335A" w:rsidP="000B74E6">
      <w:pPr>
        <w:pStyle w:val="P00"/>
        <w:spacing w:before="0" w:line="360" w:lineRule="auto"/>
        <w:ind w:left="360"/>
        <w:rPr>
          <w:rFonts w:ascii="David" w:hAnsi="David" w:cs="David"/>
          <w:sz w:val="24"/>
          <w:szCs w:val="24"/>
        </w:rPr>
      </w:pPr>
    </w:p>
    <w:p w:rsidR="000B74E6" w:rsidRDefault="000B74E6" w:rsidP="000B74E6">
      <w:pPr>
        <w:pStyle w:val="ad"/>
        <w:spacing w:after="0" w:line="360" w:lineRule="auto"/>
        <w:ind w:left="1076" w:right="851"/>
        <w:jc w:val="both"/>
        <w:rPr>
          <w:rStyle w:val="default"/>
          <w:rFonts w:ascii="David" w:hAnsi="David" w:cs="David"/>
          <w:b/>
          <w:bCs/>
          <w:sz w:val="24"/>
          <w:szCs w:val="24"/>
          <w:rtl/>
        </w:rPr>
      </w:pPr>
      <w:r w:rsidRPr="007D335A">
        <w:rPr>
          <w:rStyle w:val="default"/>
          <w:rFonts w:ascii="David" w:hAnsi="David" w:cs="David"/>
          <w:b/>
          <w:bCs/>
          <w:sz w:val="24"/>
          <w:szCs w:val="24"/>
          <w:rtl/>
        </w:rPr>
        <w:t>"ועדה לערעורים רשאית לאשר החלטת הועדה, לבטלה או לשנותה, בין שנתבקשה לעשות זאת ובין שלא נתבקשה, בין שהמערער הוא הנפגע ובין שהוא המוסד"</w:t>
      </w:r>
      <w:r w:rsidRPr="007D335A">
        <w:rPr>
          <w:rStyle w:val="default"/>
          <w:rFonts w:ascii="David" w:hAnsi="David" w:cs="David"/>
          <w:sz w:val="24"/>
          <w:szCs w:val="24"/>
          <w:rtl/>
        </w:rPr>
        <w:t>.</w:t>
      </w:r>
    </w:p>
    <w:p w:rsidR="007D335A" w:rsidRPr="007D335A" w:rsidRDefault="007D335A" w:rsidP="000B74E6">
      <w:pPr>
        <w:pStyle w:val="ad"/>
        <w:spacing w:after="0" w:line="360" w:lineRule="auto"/>
        <w:ind w:left="1076" w:right="851"/>
        <w:jc w:val="both"/>
        <w:rPr>
          <w:rStyle w:val="default"/>
          <w:rFonts w:ascii="David" w:hAnsi="David" w:cs="David"/>
          <w:b/>
          <w:bCs/>
          <w:sz w:val="24"/>
          <w:szCs w:val="24"/>
          <w:rtl/>
        </w:rPr>
      </w:pPr>
    </w:p>
    <w:p w:rsidR="000B74E6" w:rsidRPr="007D335A" w:rsidRDefault="000B74E6" w:rsidP="000B74E6">
      <w:pPr>
        <w:pStyle w:val="P00"/>
        <w:spacing w:before="0" w:line="360" w:lineRule="auto"/>
        <w:ind w:left="360"/>
        <w:rPr>
          <w:sz w:val="22"/>
          <w:szCs w:val="22"/>
          <w:rtl/>
        </w:rPr>
      </w:pPr>
      <w:r w:rsidRPr="007D335A">
        <w:rPr>
          <w:rStyle w:val="default"/>
          <w:rFonts w:ascii="David" w:hAnsi="David" w:cs="David"/>
          <w:sz w:val="24"/>
          <w:szCs w:val="24"/>
          <w:rtl/>
        </w:rPr>
        <w:lastRenderedPageBreak/>
        <w:t>תקנה 30(ב) קובעת כי ועדה לערעורים רשאית לדרוש מהמבוטח או מהמוסד להמציא לה מידע נוסף הדרוש לה לצורך מתן החלטתה, ורשאית גם לבקש מהמוסד לבצע חקירה לאימות נתונים ולקביעת עובדות, כדרוש לצורך מתן החלטתה.</w:t>
      </w:r>
      <w:r w:rsidRPr="007D335A">
        <w:rPr>
          <w:rFonts w:ascii="David" w:hAnsi="David" w:cs="David"/>
          <w:sz w:val="22"/>
          <w:szCs w:val="22"/>
        </w:rPr>
        <w:t xml:space="preserve"> </w:t>
      </w:r>
    </w:p>
    <w:p w:rsidR="000B74E6" w:rsidRDefault="000B74E6" w:rsidP="000B74E6">
      <w:pPr>
        <w:pStyle w:val="P00"/>
        <w:spacing w:before="0" w:line="360" w:lineRule="auto"/>
        <w:ind w:left="360"/>
        <w:rPr>
          <w:rFonts w:ascii="David" w:hAnsi="David" w:cs="David"/>
          <w:sz w:val="24"/>
          <w:szCs w:val="24"/>
        </w:rPr>
      </w:pPr>
      <w:r>
        <w:rPr>
          <w:rFonts w:ascii="David" w:hAnsi="David" w:cs="David"/>
          <w:sz w:val="24"/>
          <w:szCs w:val="24"/>
          <w:rtl/>
        </w:rPr>
        <w:t>תקנה 31 בתקנות מחילה על ועדה לערעורים, בין היתר, בשינויים המחויבים, את תקנות 3 ו-9 העוסקות בבדיקת הנפגע.</w:t>
      </w:r>
    </w:p>
    <w:p w:rsidR="000B74E6" w:rsidRDefault="000B74E6" w:rsidP="000B74E6">
      <w:pPr>
        <w:pStyle w:val="P00"/>
        <w:spacing w:before="0" w:line="360" w:lineRule="auto"/>
        <w:ind w:left="360"/>
        <w:rPr>
          <w:rFonts w:ascii="David" w:hAnsi="David" w:cs="David"/>
          <w:sz w:val="24"/>
          <w:szCs w:val="24"/>
        </w:rPr>
      </w:pPr>
    </w:p>
    <w:p w:rsidR="000B74E6" w:rsidRDefault="000B74E6" w:rsidP="000B74E6">
      <w:pPr>
        <w:pStyle w:val="P00"/>
        <w:numPr>
          <w:ilvl w:val="0"/>
          <w:numId w:val="1"/>
        </w:numPr>
        <w:spacing w:before="0" w:line="360" w:lineRule="auto"/>
        <w:ind w:left="360" w:hanging="510"/>
        <w:rPr>
          <w:rFonts w:ascii="David" w:hAnsi="David" w:cs="David"/>
          <w:sz w:val="24"/>
          <w:szCs w:val="24"/>
        </w:rPr>
      </w:pPr>
      <w:r>
        <w:rPr>
          <w:rFonts w:ascii="David" w:hAnsi="David" w:cs="David"/>
          <w:sz w:val="24"/>
          <w:szCs w:val="24"/>
          <w:rtl/>
        </w:rPr>
        <w:t>בפסיקה ענפה עמדו בתי המשפט לא אחת על מהותן ומעמדן של הוועדות הרפואיות בכלל וועדות הערר בפרט, לרבות בחינת הממשק הקיים בינן לבין המוסד.</w:t>
      </w:r>
    </w:p>
    <w:p w:rsidR="000B74E6" w:rsidRDefault="000B74E6" w:rsidP="000B74E6">
      <w:pPr>
        <w:pStyle w:val="P00"/>
        <w:spacing w:before="0" w:line="360" w:lineRule="auto"/>
        <w:ind w:left="360"/>
        <w:rPr>
          <w:rFonts w:ascii="David" w:hAnsi="David" w:cs="David"/>
          <w:sz w:val="24"/>
          <w:szCs w:val="24"/>
        </w:rPr>
      </w:pPr>
    </w:p>
    <w:p w:rsidR="000B74E6" w:rsidRDefault="000B74E6" w:rsidP="000B74E6">
      <w:pPr>
        <w:pStyle w:val="P00"/>
        <w:numPr>
          <w:ilvl w:val="0"/>
          <w:numId w:val="1"/>
        </w:numPr>
        <w:spacing w:before="0" w:line="360" w:lineRule="auto"/>
        <w:ind w:left="360" w:hanging="510"/>
        <w:rPr>
          <w:rFonts w:ascii="David" w:hAnsi="David" w:cs="David"/>
          <w:sz w:val="24"/>
          <w:szCs w:val="24"/>
        </w:rPr>
      </w:pPr>
      <w:r>
        <w:rPr>
          <w:rFonts w:ascii="David" w:hAnsi="David" w:cs="David"/>
          <w:sz w:val="24"/>
          <w:szCs w:val="24"/>
          <w:rtl/>
        </w:rPr>
        <w:t xml:space="preserve">בבג"צ 2874/93 </w:t>
      </w:r>
      <w:r>
        <w:rPr>
          <w:rFonts w:ascii="David" w:hAnsi="David" w:cs="David"/>
          <w:b/>
          <w:bCs/>
          <w:sz w:val="24"/>
          <w:szCs w:val="24"/>
          <w:rtl/>
        </w:rPr>
        <w:t>קופטי כמאל נ' בית הדין הארצי לעבודה,</w:t>
      </w:r>
      <w:r>
        <w:rPr>
          <w:rFonts w:ascii="David" w:hAnsi="David" w:cs="David"/>
          <w:sz w:val="24"/>
          <w:szCs w:val="24"/>
          <w:rtl/>
        </w:rPr>
        <w:t xml:space="preserve"> פ"ד מח(2) 673,682 (1994) נקבע, בין היתר, כדלקמן:</w:t>
      </w:r>
    </w:p>
    <w:p w:rsidR="000B74E6" w:rsidRDefault="000B74E6" w:rsidP="000B74E6">
      <w:pPr>
        <w:pStyle w:val="P00"/>
        <w:spacing w:before="0" w:line="360" w:lineRule="auto"/>
        <w:ind w:left="360"/>
        <w:rPr>
          <w:rFonts w:ascii="David" w:hAnsi="David" w:cs="David"/>
          <w:sz w:val="24"/>
          <w:szCs w:val="24"/>
        </w:rPr>
      </w:pPr>
    </w:p>
    <w:p w:rsidR="000B74E6" w:rsidRDefault="000B74E6" w:rsidP="000B74E6">
      <w:pPr>
        <w:pStyle w:val="ad"/>
        <w:spacing w:after="0" w:line="360" w:lineRule="auto"/>
        <w:ind w:left="1076" w:right="851"/>
        <w:jc w:val="both"/>
        <w:rPr>
          <w:rFonts w:ascii="David" w:hAnsi="David" w:cs="David"/>
          <w:rtl/>
        </w:rPr>
      </w:pPr>
      <w:r>
        <w:rPr>
          <w:rFonts w:ascii="David" w:hAnsi="David" w:cs="David"/>
          <w:b/>
          <w:bCs/>
          <w:sz w:val="18"/>
          <w:szCs w:val="24"/>
          <w:rtl/>
        </w:rPr>
        <w:t xml:space="preserve">"...הוועדות הרפואיות, הגם שהן מופעלות על-ידי המוסד מן הבחינה הארגונית והתקציבית, אין הן בשר מבשרו ועצם מעצמיו של המוסד, אלא הן גופים סטטוטוריים המוחזקים כעצמאיים, שתפקידם לפסוק בזכויות המבוטחים לפי החוק ולהכריע במחלוקות רפואיות בין המבוטחים לבין המוסד. </w:t>
      </w:r>
      <w:r>
        <w:rPr>
          <w:rFonts w:ascii="David" w:hAnsi="David" w:cs="David"/>
          <w:b/>
          <w:bCs/>
          <w:sz w:val="18"/>
          <w:szCs w:val="24"/>
          <w:u w:val="single"/>
          <w:rtl/>
        </w:rPr>
        <w:t>בכך ממלאות הוועדות תפקיד מעין-שיפוטי מובהק</w:t>
      </w:r>
      <w:r>
        <w:rPr>
          <w:rFonts w:ascii="David" w:hAnsi="David" w:cs="David"/>
          <w:b/>
          <w:bCs/>
          <w:sz w:val="18"/>
          <w:szCs w:val="24"/>
          <w:rtl/>
        </w:rPr>
        <w:t>. חבריהן אינם כפופים למרותו של המוסד ואינם חבים לו חובת נאמנות. כפיפותם היא לחוק ולציבור, וחובתם, על-פי הדין, היא לפסוק בשאלות הרפואיות המובאות לפניהם, על-פי אמות מידה מקצועיות וענייניות"</w:t>
      </w:r>
      <w:r>
        <w:rPr>
          <w:rFonts w:ascii="David" w:hAnsi="David" w:cs="David"/>
          <w:sz w:val="18"/>
          <w:szCs w:val="24"/>
          <w:rtl/>
        </w:rPr>
        <w:t xml:space="preserve"> (ההדגשה אינה במקור).</w:t>
      </w:r>
    </w:p>
    <w:p w:rsidR="000B74E6" w:rsidRDefault="000B74E6" w:rsidP="000B74E6">
      <w:pPr>
        <w:pStyle w:val="P00"/>
        <w:spacing w:before="0" w:line="360" w:lineRule="auto"/>
        <w:ind w:left="360"/>
        <w:rPr>
          <w:rFonts w:ascii="David" w:hAnsi="David" w:cs="David"/>
          <w:sz w:val="22"/>
          <w:szCs w:val="22"/>
          <w:rtl/>
        </w:rPr>
      </w:pPr>
    </w:p>
    <w:p w:rsidR="000B74E6" w:rsidRDefault="000B74E6" w:rsidP="000B74E6">
      <w:pPr>
        <w:pStyle w:val="P00"/>
        <w:numPr>
          <w:ilvl w:val="0"/>
          <w:numId w:val="1"/>
        </w:numPr>
        <w:spacing w:before="0" w:line="360" w:lineRule="auto"/>
        <w:ind w:left="360" w:hanging="510"/>
        <w:rPr>
          <w:rFonts w:ascii="David" w:hAnsi="David" w:cs="David"/>
          <w:sz w:val="24"/>
          <w:szCs w:val="24"/>
          <w:rtl/>
        </w:rPr>
      </w:pPr>
      <w:r>
        <w:rPr>
          <w:rFonts w:ascii="David" w:hAnsi="David" w:cs="David"/>
          <w:sz w:val="24"/>
          <w:szCs w:val="24"/>
          <w:rtl/>
        </w:rPr>
        <w:t xml:space="preserve">עוד קודם לכן נקבע בדיון ל/6-0 (ארצי) </w:t>
      </w:r>
      <w:r>
        <w:rPr>
          <w:rFonts w:ascii="David" w:hAnsi="David" w:cs="David"/>
          <w:b/>
          <w:bCs/>
          <w:sz w:val="24"/>
          <w:szCs w:val="24"/>
          <w:rtl/>
        </w:rPr>
        <w:t>אלחטיב נ' המוסד לביטוח לאומי</w:t>
      </w:r>
      <w:r>
        <w:rPr>
          <w:rFonts w:ascii="David" w:hAnsi="David" w:cs="David"/>
          <w:sz w:val="24"/>
          <w:szCs w:val="24"/>
          <w:rtl/>
        </w:rPr>
        <w:t>, פד"ע א' 157 (1970) כי:</w:t>
      </w:r>
    </w:p>
    <w:p w:rsidR="000B74E6" w:rsidRDefault="000B74E6" w:rsidP="000B74E6">
      <w:pPr>
        <w:pStyle w:val="P00"/>
        <w:spacing w:before="0" w:line="360" w:lineRule="auto"/>
        <w:ind w:left="360"/>
        <w:rPr>
          <w:rFonts w:ascii="David" w:hAnsi="David" w:cs="David"/>
          <w:sz w:val="24"/>
          <w:szCs w:val="24"/>
        </w:rPr>
      </w:pPr>
    </w:p>
    <w:p w:rsidR="000B74E6" w:rsidRDefault="000B74E6" w:rsidP="000B74E6">
      <w:pPr>
        <w:pStyle w:val="ad"/>
        <w:spacing w:after="0" w:line="360" w:lineRule="auto"/>
        <w:ind w:left="1076" w:right="851"/>
        <w:jc w:val="both"/>
        <w:rPr>
          <w:rFonts w:ascii="David" w:hAnsi="David" w:cs="David"/>
          <w:b/>
          <w:bCs/>
          <w:sz w:val="24"/>
          <w:szCs w:val="24"/>
          <w:rtl/>
        </w:rPr>
      </w:pPr>
      <w:r>
        <w:rPr>
          <w:rFonts w:ascii="David" w:hAnsi="David" w:cs="David"/>
          <w:b/>
          <w:bCs/>
          <w:sz w:val="24"/>
          <w:szCs w:val="24"/>
          <w:rtl/>
        </w:rPr>
        <w:t>"ועדה רפואית לערעורים פועלת כגוף "מעין-שיפוטי", מאחר ופעולתה "פעולה</w:t>
      </w:r>
      <w:r>
        <w:rPr>
          <w:rFonts w:ascii="David" w:hAnsi="David" w:cs="David"/>
          <w:b/>
          <w:bCs/>
          <w:sz w:val="24"/>
          <w:szCs w:val="24"/>
        </w:rPr>
        <w:t xml:space="preserve"> </w:t>
      </w:r>
      <w:r>
        <w:rPr>
          <w:rFonts w:ascii="David" w:hAnsi="David" w:cs="David"/>
          <w:b/>
          <w:bCs/>
          <w:sz w:val="24"/>
          <w:szCs w:val="24"/>
          <w:rtl/>
        </w:rPr>
        <w:t>פוסקת</w:t>
      </w:r>
      <w:r>
        <w:rPr>
          <w:rFonts w:ascii="David" w:hAnsi="David" w:cs="David"/>
          <w:b/>
          <w:bCs/>
          <w:sz w:val="24"/>
          <w:szCs w:val="24"/>
        </w:rPr>
        <w:t>– "</w:t>
      </w:r>
      <w:r>
        <w:rPr>
          <w:rFonts w:ascii="David" w:hAnsi="David" w:cs="David"/>
          <w:b/>
          <w:bCs/>
          <w:sz w:val="24"/>
          <w:szCs w:val="24"/>
          <w:rtl/>
        </w:rPr>
        <w:t xml:space="preserve"> </w:t>
      </w:r>
      <w:r>
        <w:rPr>
          <w:rFonts w:ascii="David" w:hAnsi="David" w:cs="David"/>
          <w:b/>
          <w:bCs/>
          <w:sz w:val="24"/>
          <w:szCs w:val="24"/>
        </w:rPr>
        <w:t xml:space="preserve"> determinative function</w:t>
      </w:r>
      <w:r>
        <w:rPr>
          <w:rFonts w:ascii="David" w:hAnsi="David" w:cs="David"/>
          <w:b/>
          <w:bCs/>
          <w:sz w:val="24"/>
          <w:szCs w:val="24"/>
          <w:rtl/>
        </w:rPr>
        <w:t xml:space="preserve">להבדיל מפעולת ביצוע </w:t>
      </w:r>
      <w:proofErr w:type="spellStart"/>
      <w:r>
        <w:rPr>
          <w:rFonts w:ascii="David" w:hAnsi="David" w:cs="David"/>
          <w:b/>
          <w:bCs/>
          <w:sz w:val="24"/>
          <w:szCs w:val="24"/>
          <w:rtl/>
        </w:rPr>
        <w:t>ומינהל</w:t>
      </w:r>
      <w:proofErr w:type="spellEnd"/>
      <w:r>
        <w:rPr>
          <w:rFonts w:ascii="David" w:hAnsi="David" w:cs="David"/>
          <w:b/>
          <w:bCs/>
          <w:sz w:val="24"/>
          <w:szCs w:val="24"/>
          <w:rtl/>
        </w:rPr>
        <w:t>"</w:t>
      </w:r>
    </w:p>
    <w:p w:rsidR="000B74E6" w:rsidRDefault="000B74E6" w:rsidP="000B74E6">
      <w:pPr>
        <w:pStyle w:val="P00"/>
        <w:spacing w:before="0" w:line="360" w:lineRule="auto"/>
        <w:ind w:left="360"/>
        <w:rPr>
          <w:rFonts w:ascii="David" w:hAnsi="David" w:cs="David"/>
          <w:sz w:val="24"/>
          <w:szCs w:val="24"/>
          <w:rtl/>
        </w:rPr>
      </w:pPr>
    </w:p>
    <w:p w:rsidR="000B74E6" w:rsidRDefault="000B74E6" w:rsidP="000B74E6">
      <w:pPr>
        <w:pStyle w:val="P00"/>
        <w:spacing w:before="0" w:line="360" w:lineRule="auto"/>
        <w:ind w:left="360"/>
        <w:rPr>
          <w:rFonts w:ascii="David" w:hAnsi="David" w:cs="David"/>
          <w:sz w:val="24"/>
          <w:szCs w:val="24"/>
          <w:rtl/>
        </w:rPr>
      </w:pPr>
      <w:r>
        <w:rPr>
          <w:rFonts w:ascii="David" w:hAnsi="David" w:cs="David"/>
          <w:sz w:val="24"/>
          <w:szCs w:val="24"/>
          <w:rtl/>
        </w:rPr>
        <w:t xml:space="preserve">גם בדיון נב/22-01 (ארצי) </w:t>
      </w:r>
      <w:r>
        <w:rPr>
          <w:rFonts w:ascii="David" w:hAnsi="David" w:cs="David"/>
          <w:b/>
          <w:bCs/>
          <w:sz w:val="24"/>
          <w:szCs w:val="24"/>
          <w:rtl/>
        </w:rPr>
        <w:t>חבשה נ' המוסד לביטוח לאומי</w:t>
      </w:r>
      <w:r>
        <w:rPr>
          <w:rFonts w:ascii="David" w:hAnsi="David" w:cs="David"/>
          <w:sz w:val="24"/>
          <w:szCs w:val="24"/>
          <w:rtl/>
        </w:rPr>
        <w:t>, פד"ע כה 311 סעיפים 13-14 (1993) נקבע כי הוועדות הרפואיות על שתי דרגותיהן פועלות כגופים מעין שיפוטיים.</w:t>
      </w:r>
    </w:p>
    <w:p w:rsidR="000B74E6" w:rsidRDefault="000B74E6" w:rsidP="000B74E6">
      <w:pPr>
        <w:pStyle w:val="P00"/>
        <w:spacing w:before="0" w:line="360" w:lineRule="auto"/>
        <w:ind w:left="360"/>
        <w:rPr>
          <w:rFonts w:ascii="David" w:hAnsi="David" w:cs="David"/>
          <w:sz w:val="24"/>
          <w:szCs w:val="24"/>
          <w:rtl/>
        </w:rPr>
      </w:pPr>
    </w:p>
    <w:p w:rsidR="000B74E6" w:rsidRDefault="000B74E6" w:rsidP="000B74E6">
      <w:pPr>
        <w:pStyle w:val="P00"/>
        <w:numPr>
          <w:ilvl w:val="0"/>
          <w:numId w:val="1"/>
        </w:numPr>
        <w:spacing w:before="0" w:line="360" w:lineRule="auto"/>
        <w:ind w:left="360" w:hanging="510"/>
        <w:rPr>
          <w:rFonts w:ascii="David" w:hAnsi="David" w:cs="David"/>
          <w:sz w:val="24"/>
          <w:szCs w:val="24"/>
          <w:rtl/>
        </w:rPr>
      </w:pPr>
      <w:r>
        <w:rPr>
          <w:rFonts w:ascii="David" w:hAnsi="David" w:cs="David"/>
          <w:sz w:val="24"/>
          <w:szCs w:val="24"/>
          <w:rtl/>
        </w:rPr>
        <w:t xml:space="preserve">בע"א 4223/12 </w:t>
      </w:r>
      <w:r>
        <w:rPr>
          <w:rFonts w:ascii="David" w:hAnsi="David" w:cs="David"/>
          <w:b/>
          <w:bCs/>
          <w:sz w:val="24"/>
          <w:szCs w:val="24"/>
          <w:rtl/>
        </w:rPr>
        <w:t>המרכז למימוש זכויות רפואיות בע"מ נ' לשכת עורכי הדין בישראל</w:t>
      </w:r>
      <w:r>
        <w:rPr>
          <w:rFonts w:ascii="David" w:hAnsi="David" w:cs="David"/>
          <w:sz w:val="24"/>
          <w:szCs w:val="24"/>
          <w:rtl/>
        </w:rPr>
        <w:t xml:space="preserve"> (25.6.14) נקבע כי אף על פי שהוועדות הרפואיות הן גופים מקצועיים-רפואיים המתפקדים כשלוחה של </w:t>
      </w:r>
      <w:r>
        <w:rPr>
          <w:rFonts w:ascii="David" w:hAnsi="David" w:cs="David"/>
          <w:sz w:val="24"/>
          <w:szCs w:val="24"/>
          <w:rtl/>
        </w:rPr>
        <w:lastRenderedPageBreak/>
        <w:t>המל"ל, הן ממלאות תפקיד מעין-שיפוטי במהותו, ובהמשך נכתב כי:</w:t>
      </w:r>
    </w:p>
    <w:p w:rsidR="000B74E6" w:rsidRDefault="000B74E6" w:rsidP="000B74E6">
      <w:pPr>
        <w:pStyle w:val="P00"/>
        <w:spacing w:before="0" w:line="360" w:lineRule="auto"/>
        <w:ind w:left="360"/>
        <w:rPr>
          <w:rFonts w:ascii="David" w:hAnsi="David" w:cs="David"/>
          <w:sz w:val="24"/>
          <w:szCs w:val="24"/>
        </w:rPr>
      </w:pPr>
    </w:p>
    <w:p w:rsidR="000B74E6" w:rsidRDefault="000B74E6" w:rsidP="000B74E6">
      <w:pPr>
        <w:pStyle w:val="ad"/>
        <w:spacing w:after="0" w:line="360" w:lineRule="auto"/>
        <w:ind w:left="1076" w:right="851"/>
        <w:jc w:val="both"/>
        <w:rPr>
          <w:rFonts w:ascii="David" w:hAnsi="David" w:cs="David"/>
          <w:b/>
          <w:bCs/>
          <w:sz w:val="24"/>
          <w:szCs w:val="24"/>
          <w:rtl/>
        </w:rPr>
      </w:pPr>
      <w:r>
        <w:rPr>
          <w:rFonts w:ascii="David" w:hAnsi="David" w:cs="David"/>
          <w:b/>
          <w:bCs/>
          <w:sz w:val="24"/>
          <w:szCs w:val="24"/>
          <w:rtl/>
        </w:rPr>
        <w:t xml:space="preserve">ככל גוף מעין-שיפוטי, כפופות הוועדות הרפואיות לכללי המשפט המנהלי ולעקרונות הצדק הטבעי, ומתוקף כך עליהן לנהל פרוטוקול, לקיים את זכות הטיעון כהלכתה, לנמק את החלטותיהן, להימנע מניגוד עניינים ומשוא פנים וגו', בד בבד עם מיצוי מומחיותן הרפואית (בג"ץ המוסד לביטוח לאומי, פסקה 16; </w:t>
      </w:r>
      <w:proofErr w:type="spellStart"/>
      <w:r>
        <w:rPr>
          <w:rFonts w:ascii="David" w:hAnsi="David" w:cs="David"/>
          <w:b/>
          <w:bCs/>
          <w:sz w:val="24"/>
          <w:szCs w:val="24"/>
          <w:rtl/>
        </w:rPr>
        <w:t>אליאסוף</w:t>
      </w:r>
      <w:proofErr w:type="spellEnd"/>
      <w:r>
        <w:rPr>
          <w:rFonts w:ascii="David" w:hAnsi="David" w:cs="David"/>
          <w:b/>
          <w:bCs/>
          <w:sz w:val="24"/>
          <w:szCs w:val="24"/>
          <w:rtl/>
        </w:rPr>
        <w:t xml:space="preserve">, עמ' 62 - 64; </w:t>
      </w:r>
      <w:proofErr w:type="spellStart"/>
      <w:r>
        <w:rPr>
          <w:rFonts w:ascii="David" w:hAnsi="David" w:cs="David"/>
          <w:b/>
          <w:bCs/>
          <w:sz w:val="24"/>
          <w:szCs w:val="24"/>
          <w:rtl/>
        </w:rPr>
        <w:t>דב"ע</w:t>
      </w:r>
      <w:proofErr w:type="spellEnd"/>
      <w:r>
        <w:rPr>
          <w:rFonts w:ascii="David" w:hAnsi="David" w:cs="David"/>
          <w:b/>
          <w:bCs/>
          <w:sz w:val="24"/>
          <w:szCs w:val="24"/>
          <w:rtl/>
        </w:rPr>
        <w:t xml:space="preserve"> נב/01-22 חבשה נ' המוסד לביטוח לאומי, [פורסם בנבו] </w:t>
      </w:r>
      <w:proofErr w:type="spellStart"/>
      <w:r>
        <w:rPr>
          <w:rFonts w:ascii="David" w:hAnsi="David" w:cs="David"/>
          <w:b/>
          <w:bCs/>
          <w:sz w:val="24"/>
          <w:szCs w:val="24"/>
          <w:rtl/>
        </w:rPr>
        <w:t>פד"ע</w:t>
      </w:r>
      <w:proofErr w:type="spellEnd"/>
      <w:r>
        <w:rPr>
          <w:rFonts w:ascii="David" w:hAnsi="David" w:cs="David"/>
          <w:b/>
          <w:bCs/>
          <w:sz w:val="24"/>
          <w:szCs w:val="24"/>
          <w:rtl/>
        </w:rPr>
        <w:t xml:space="preserve"> כה 311, 319-318; עב"ל/99464 המוסד לביטוח לאומי נ' ארבל, [פורסם בנבו] </w:t>
      </w:r>
      <w:proofErr w:type="spellStart"/>
      <w:r>
        <w:rPr>
          <w:rFonts w:ascii="David" w:hAnsi="David" w:cs="David"/>
          <w:b/>
          <w:bCs/>
          <w:sz w:val="24"/>
          <w:szCs w:val="24"/>
          <w:rtl/>
        </w:rPr>
        <w:t>פד"ע</w:t>
      </w:r>
      <w:proofErr w:type="spellEnd"/>
      <w:r>
        <w:rPr>
          <w:rFonts w:ascii="David" w:hAnsi="David" w:cs="David"/>
          <w:b/>
          <w:bCs/>
          <w:sz w:val="24"/>
          <w:szCs w:val="24"/>
          <w:rtl/>
        </w:rPr>
        <w:t xml:space="preserve"> </w:t>
      </w:r>
      <w:proofErr w:type="spellStart"/>
      <w:r>
        <w:rPr>
          <w:rFonts w:ascii="David" w:hAnsi="David" w:cs="David"/>
          <w:b/>
          <w:bCs/>
          <w:sz w:val="24"/>
          <w:szCs w:val="24"/>
          <w:rtl/>
        </w:rPr>
        <w:t>לז</w:t>
      </w:r>
      <w:proofErr w:type="spellEnd"/>
      <w:r>
        <w:rPr>
          <w:rFonts w:ascii="David" w:hAnsi="David" w:cs="David"/>
          <w:b/>
          <w:bCs/>
          <w:sz w:val="24"/>
          <w:szCs w:val="24"/>
          <w:rtl/>
        </w:rPr>
        <w:t xml:space="preserve"> 249, 262 (2001). להלן: הלכת ארבל, שאיש מהצדדים לא הפנה אליה).</w:t>
      </w:r>
    </w:p>
    <w:p w:rsidR="000B74E6" w:rsidRDefault="000B74E6" w:rsidP="000B74E6">
      <w:pPr>
        <w:pStyle w:val="Ruller40"/>
        <w:rPr>
          <w:rFonts w:ascii="David" w:hAnsi="David" w:cs="David"/>
          <w:b/>
          <w:bCs/>
          <w:sz w:val="24"/>
          <w:szCs w:val="24"/>
          <w:rtl/>
        </w:rPr>
      </w:pPr>
    </w:p>
    <w:p w:rsidR="000B74E6" w:rsidRDefault="000B74E6" w:rsidP="000B74E6">
      <w:pPr>
        <w:pStyle w:val="ad"/>
        <w:spacing w:after="0" w:line="360" w:lineRule="auto"/>
        <w:ind w:left="1076" w:right="851"/>
        <w:jc w:val="both"/>
        <w:rPr>
          <w:rFonts w:ascii="David" w:hAnsi="David" w:cs="David"/>
          <w:b/>
          <w:bCs/>
          <w:sz w:val="24"/>
          <w:szCs w:val="24"/>
          <w:rtl/>
        </w:rPr>
      </w:pPr>
      <w:r>
        <w:rPr>
          <w:rFonts w:ascii="David" w:hAnsi="David" w:cs="David"/>
          <w:b/>
          <w:bCs/>
          <w:sz w:val="24"/>
          <w:szCs w:val="24"/>
          <w:rtl/>
        </w:rPr>
        <w:t>66.</w:t>
      </w:r>
      <w:r>
        <w:rPr>
          <w:rFonts w:ascii="David" w:hAnsi="David" w:cs="David"/>
          <w:b/>
          <w:bCs/>
          <w:sz w:val="24"/>
          <w:szCs w:val="24"/>
          <w:rtl/>
        </w:rPr>
        <w:tab/>
        <w:t xml:space="preserve">בהלכת ארבל קבע בית הדין הארצי לעבודה (בדעת רוב) כי כללי המשפט המנהלי חלים ביתר-שאת על ועדות הערר, שעה שהן מעבירות תחת שבט ביקורתן את החלטותיה של הוועדה מדרג ראשון (שם). סמכותן הרחבה של ועדות הערר, כך הוחלט, נושאת בצידה חובה להקפיד "קלה כבחמורה" על התקיימותם של כללי המשפט המנהלי, כך שאם הוועדה הרפואית חרגה מן הכללים, למשל על-ידי כך שאחד מחבריה היה נגוע בניגוד עניינים (ראו לדוגמה: </w:t>
      </w:r>
      <w:proofErr w:type="spellStart"/>
      <w:r>
        <w:rPr>
          <w:rFonts w:ascii="David" w:hAnsi="David" w:cs="David"/>
          <w:b/>
          <w:bCs/>
          <w:sz w:val="24"/>
          <w:szCs w:val="24"/>
          <w:rtl/>
        </w:rPr>
        <w:t>ב"ל</w:t>
      </w:r>
      <w:proofErr w:type="spellEnd"/>
      <w:r>
        <w:rPr>
          <w:rFonts w:ascii="David" w:hAnsi="David" w:cs="David"/>
          <w:b/>
          <w:bCs/>
          <w:sz w:val="24"/>
          <w:szCs w:val="24"/>
          <w:rtl/>
        </w:rPr>
        <w:t xml:space="preserve"> (</w:t>
      </w:r>
      <w:proofErr w:type="spellStart"/>
      <w:r>
        <w:rPr>
          <w:rFonts w:ascii="David" w:hAnsi="David" w:cs="David"/>
          <w:b/>
          <w:bCs/>
          <w:sz w:val="24"/>
          <w:szCs w:val="24"/>
          <w:rtl/>
        </w:rPr>
        <w:t>נצ</w:t>
      </w:r>
      <w:proofErr w:type="spellEnd"/>
      <w:r>
        <w:rPr>
          <w:rFonts w:ascii="David" w:hAnsi="David" w:cs="David"/>
          <w:b/>
          <w:bCs/>
          <w:sz w:val="24"/>
          <w:szCs w:val="24"/>
          <w:rtl/>
        </w:rPr>
        <w:t xml:space="preserve">') 9009-12-12 </w:t>
      </w:r>
      <w:proofErr w:type="spellStart"/>
      <w:r>
        <w:rPr>
          <w:rFonts w:ascii="David" w:hAnsi="David" w:cs="David"/>
          <w:b/>
          <w:bCs/>
          <w:sz w:val="24"/>
          <w:szCs w:val="24"/>
          <w:rtl/>
        </w:rPr>
        <w:t>דלאשה</w:t>
      </w:r>
      <w:proofErr w:type="spellEnd"/>
      <w:r>
        <w:rPr>
          <w:rFonts w:ascii="David" w:hAnsi="David" w:cs="David"/>
          <w:b/>
          <w:bCs/>
          <w:sz w:val="24"/>
          <w:szCs w:val="24"/>
          <w:rtl/>
        </w:rPr>
        <w:t xml:space="preserve"> נ' המוסד לביטוח לאומי [פורסם בנבו] (14.1.2014). להלן: עניין </w:t>
      </w:r>
      <w:proofErr w:type="spellStart"/>
      <w:r>
        <w:rPr>
          <w:rFonts w:ascii="David" w:hAnsi="David" w:cs="David"/>
          <w:b/>
          <w:bCs/>
          <w:sz w:val="24"/>
          <w:szCs w:val="24"/>
          <w:rtl/>
        </w:rPr>
        <w:t>דלאשה</w:t>
      </w:r>
      <w:proofErr w:type="spellEnd"/>
      <w:r>
        <w:rPr>
          <w:rFonts w:ascii="David" w:hAnsi="David" w:cs="David"/>
          <w:b/>
          <w:bCs/>
          <w:sz w:val="24"/>
          <w:szCs w:val="24"/>
          <w:rtl/>
        </w:rPr>
        <w:t xml:space="preserve">), לא תוכל ועדה לערעורים "לעצום עיניה" ולהתכנס בדל"ת אמותיהם של ההיבטים הרפואיים בערר שלפניה, אלא חייבת היא לבחון את מלוא היקף ההחלטה שבערר, על מכלול פניה (הלכת ארבל, עמ' 267). במילים אחרות, שומה על הרופאים החברים בוועדות הערר לתת את דעתם לזכויותיו וטענותיו של המבוטח, אף אם חורגות הן משאלה שברפואה בלבד. לצורך כך, רשאים הם להסתייע בשירותיו של יועץ משפטי לוועדה (שם, עמ' 263-262; ראו </w:t>
      </w:r>
      <w:r w:rsidRPr="007D335A">
        <w:rPr>
          <w:rFonts w:ascii="David" w:hAnsi="David" w:cs="David"/>
          <w:b/>
          <w:bCs/>
          <w:sz w:val="24"/>
          <w:szCs w:val="24"/>
          <w:rtl/>
        </w:rPr>
        <w:t>סעיף 122(ג)</w:t>
      </w:r>
      <w:r>
        <w:rPr>
          <w:rFonts w:ascii="David" w:hAnsi="David" w:cs="David"/>
          <w:b/>
          <w:bCs/>
          <w:sz w:val="24"/>
          <w:szCs w:val="24"/>
          <w:rtl/>
        </w:rPr>
        <w:t xml:space="preserve"> לחוק הביטוח הלאומי)"</w:t>
      </w:r>
      <w:r>
        <w:rPr>
          <w:rFonts w:ascii="David" w:hAnsi="David" w:cs="David"/>
          <w:sz w:val="24"/>
          <w:szCs w:val="24"/>
          <w:rtl/>
        </w:rPr>
        <w:t>.</w:t>
      </w:r>
    </w:p>
    <w:p w:rsidR="000B74E6" w:rsidRDefault="000B74E6" w:rsidP="000B74E6">
      <w:pPr>
        <w:pStyle w:val="P00"/>
        <w:spacing w:before="0" w:line="360" w:lineRule="auto"/>
        <w:ind w:left="360"/>
        <w:rPr>
          <w:rFonts w:ascii="David" w:hAnsi="David" w:cs="David"/>
          <w:b/>
          <w:bCs/>
          <w:sz w:val="24"/>
          <w:szCs w:val="24"/>
          <w:rtl/>
        </w:rPr>
      </w:pPr>
    </w:p>
    <w:p w:rsidR="000B74E6" w:rsidRDefault="000B74E6" w:rsidP="000B74E6">
      <w:pPr>
        <w:pStyle w:val="P00"/>
        <w:numPr>
          <w:ilvl w:val="0"/>
          <w:numId w:val="1"/>
        </w:numPr>
        <w:spacing w:before="0" w:line="360" w:lineRule="auto"/>
        <w:ind w:left="360" w:hanging="510"/>
        <w:rPr>
          <w:rFonts w:ascii="David" w:hAnsi="David" w:cs="David"/>
          <w:sz w:val="24"/>
          <w:szCs w:val="24"/>
        </w:rPr>
      </w:pPr>
      <w:r>
        <w:rPr>
          <w:rFonts w:ascii="David" w:hAnsi="David" w:cs="David"/>
          <w:sz w:val="24"/>
          <w:szCs w:val="24"/>
          <w:rtl/>
        </w:rPr>
        <w:t xml:space="preserve">נוסיף ונביא גם את הכתוב בספרם של טומשין, מרקמן, גנאינסקי </w:t>
      </w:r>
      <w:r>
        <w:rPr>
          <w:rFonts w:ascii="David" w:hAnsi="David" w:cs="David"/>
          <w:b/>
          <w:bCs/>
          <w:sz w:val="24"/>
          <w:szCs w:val="24"/>
          <w:rtl/>
        </w:rPr>
        <w:t>"תאונות עבודה ומחלות מקצוע"</w:t>
      </w:r>
      <w:r>
        <w:rPr>
          <w:rFonts w:ascii="David" w:hAnsi="David" w:cs="David"/>
          <w:sz w:val="24"/>
          <w:szCs w:val="24"/>
          <w:rtl/>
        </w:rPr>
        <w:t xml:space="preserve"> 603  (2011): </w:t>
      </w:r>
    </w:p>
    <w:p w:rsidR="000B74E6" w:rsidRDefault="000B74E6" w:rsidP="000B74E6">
      <w:pPr>
        <w:spacing w:line="360" w:lineRule="auto"/>
        <w:ind w:left="360"/>
        <w:rPr>
          <w:rFonts w:ascii="David" w:hAnsi="David"/>
        </w:rPr>
      </w:pPr>
    </w:p>
    <w:p w:rsidR="000B74E6" w:rsidRDefault="000B74E6" w:rsidP="000B74E6">
      <w:pPr>
        <w:pStyle w:val="ad"/>
        <w:spacing w:after="0" w:line="360" w:lineRule="auto"/>
        <w:ind w:left="1076" w:right="851"/>
        <w:jc w:val="both"/>
        <w:rPr>
          <w:rFonts w:ascii="David" w:hAnsi="David" w:cs="David"/>
          <w:sz w:val="24"/>
          <w:szCs w:val="24"/>
          <w:rtl/>
        </w:rPr>
      </w:pPr>
      <w:r>
        <w:rPr>
          <w:rFonts w:ascii="David" w:hAnsi="David" w:cs="David"/>
          <w:b/>
          <w:bCs/>
          <w:sz w:val="24"/>
          <w:szCs w:val="24"/>
          <w:rtl/>
        </w:rPr>
        <w:t xml:space="preserve">"הוועדות הרפואיות מהוות גופים סטטוטוריים המוחזקים כעצמאיים ותפקידם לקבוע את נכות המבוטחים ולהכריע במחלוקות רפואיות בין המבוטחים מצדו האחד של המתרס, לבין המוסד לביטוח לאומי, מצדו האחר של המתרס. לשני הצדדים המתדיינים יש זכות ערעור על החלטת </w:t>
      </w:r>
      <w:r>
        <w:rPr>
          <w:rFonts w:ascii="David" w:hAnsi="David" w:cs="David"/>
          <w:b/>
          <w:bCs/>
          <w:sz w:val="24"/>
          <w:szCs w:val="24"/>
          <w:rtl/>
        </w:rPr>
        <w:lastRenderedPageBreak/>
        <w:t>הוועדה. בכך למעשה ממלאות הוועדות תפקיד של גוף מעין-שיפוטי וכך גם נקבע הדבר בפסיקת בתי הדין"</w:t>
      </w:r>
      <w:r>
        <w:rPr>
          <w:rFonts w:ascii="David" w:hAnsi="David" w:cs="David"/>
          <w:sz w:val="24"/>
          <w:szCs w:val="24"/>
          <w:rtl/>
        </w:rPr>
        <w:t>.</w:t>
      </w:r>
    </w:p>
    <w:p w:rsidR="000B74E6" w:rsidRDefault="000B74E6" w:rsidP="000B74E6">
      <w:pPr>
        <w:spacing w:line="360" w:lineRule="auto"/>
        <w:ind w:left="360"/>
        <w:rPr>
          <w:rFonts w:ascii="David" w:hAnsi="David"/>
          <w:rtl/>
        </w:rPr>
      </w:pPr>
    </w:p>
    <w:p w:rsidR="000B74E6" w:rsidRDefault="000B74E6" w:rsidP="000B74E6">
      <w:pPr>
        <w:pStyle w:val="P00"/>
        <w:numPr>
          <w:ilvl w:val="0"/>
          <w:numId w:val="1"/>
        </w:numPr>
        <w:spacing w:before="0" w:line="360" w:lineRule="auto"/>
        <w:ind w:left="360" w:hanging="510"/>
        <w:rPr>
          <w:rFonts w:ascii="David" w:hAnsi="David" w:cs="David"/>
          <w:sz w:val="24"/>
          <w:szCs w:val="24"/>
          <w:rtl/>
        </w:rPr>
      </w:pPr>
      <w:r>
        <w:rPr>
          <w:rFonts w:ascii="David" w:hAnsi="David" w:cs="David"/>
          <w:sz w:val="24"/>
          <w:szCs w:val="24"/>
          <w:rtl/>
        </w:rPr>
        <w:t xml:space="preserve">הקביעה כי ועדות הערר הן גופים מעין שיפוטיים היא, אפוא, קביעה ברורה בפסיקת בתי המשפט ובספרות, אך בהתאם לפסק הדין בעניין </w:t>
      </w:r>
      <w:r>
        <w:rPr>
          <w:rFonts w:ascii="David" w:hAnsi="David" w:cs="David"/>
          <w:b/>
          <w:bCs/>
          <w:sz w:val="24"/>
          <w:szCs w:val="24"/>
          <w:rtl/>
        </w:rPr>
        <w:t>רוטברד</w:t>
      </w:r>
      <w:r>
        <w:rPr>
          <w:rFonts w:ascii="David" w:hAnsi="David" w:cs="David"/>
          <w:sz w:val="24"/>
          <w:szCs w:val="24"/>
          <w:rtl/>
        </w:rPr>
        <w:t xml:space="preserve"> – אינה מספקת כשלעצמה לצורך הענקת חסינות שיפוטית.</w:t>
      </w:r>
    </w:p>
    <w:p w:rsidR="000B74E6" w:rsidRDefault="000B74E6" w:rsidP="000B74E6">
      <w:pPr>
        <w:spacing w:line="360" w:lineRule="auto"/>
        <w:ind w:left="360"/>
        <w:rPr>
          <w:rFonts w:ascii="David" w:hAnsi="David"/>
        </w:rPr>
      </w:pPr>
    </w:p>
    <w:p w:rsidR="000B74E6" w:rsidRDefault="000B74E6" w:rsidP="000B74E6">
      <w:pPr>
        <w:pStyle w:val="P00"/>
        <w:numPr>
          <w:ilvl w:val="0"/>
          <w:numId w:val="1"/>
        </w:numPr>
        <w:spacing w:before="0" w:line="360" w:lineRule="auto"/>
        <w:ind w:left="360" w:hanging="510"/>
        <w:rPr>
          <w:rFonts w:ascii="David" w:hAnsi="David" w:cs="David"/>
          <w:sz w:val="24"/>
          <w:szCs w:val="24"/>
          <w:rtl/>
        </w:rPr>
      </w:pPr>
      <w:r>
        <w:rPr>
          <w:rFonts w:ascii="David" w:hAnsi="David" w:cs="David"/>
          <w:sz w:val="24"/>
          <w:szCs w:val="24"/>
          <w:rtl/>
        </w:rPr>
        <w:t>בצד האמור לעיל נקבע גם כי כי קיימת שונוּת מסוימת בין ועדות הערר הרפואיות לבין גופים מעין שיפוטיים אחרים, שכן סמכות ועדה לערעורים אינה רק סמכות של ביקורת על החלטת הוועדה הרפואית מהדרג הראשון, אלא שההליך שבפניה, על פי הסמכויות הרחבות שהוקנו לה (לבדוק את הנפגע בעצמה, לדרוש ממנו לעמוד לבדיקה רפואית או אחרת, להמציא לה את תוצאות הבדיקה ואף להיזקק לחוות</w:t>
      </w:r>
      <w:r>
        <w:rPr>
          <w:rFonts w:ascii="David" w:hAnsi="David" w:cs="David"/>
          <w:position w:val="4"/>
          <w:sz w:val="24"/>
          <w:szCs w:val="24"/>
          <w:rtl/>
        </w:rPr>
        <w:t>-</w:t>
      </w:r>
      <w:r>
        <w:rPr>
          <w:rFonts w:ascii="David" w:hAnsi="David" w:cs="David"/>
          <w:sz w:val="24"/>
          <w:szCs w:val="24"/>
          <w:rtl/>
        </w:rPr>
        <w:t xml:space="preserve">דעתם של יועצים רפואיים או אחרים) </w:t>
      </w:r>
      <w:r>
        <w:rPr>
          <w:rFonts w:ascii="David" w:hAnsi="David" w:cs="David"/>
          <w:b/>
          <w:bCs/>
          <w:sz w:val="24"/>
          <w:szCs w:val="24"/>
          <w:rtl/>
        </w:rPr>
        <w:t>"... מחייב כניסה מחדש לעובי הקורה וקביעת מימצאים עדכניים, על</w:t>
      </w:r>
      <w:r>
        <w:rPr>
          <w:rFonts w:ascii="David" w:hAnsi="David" w:cs="David"/>
          <w:b/>
          <w:bCs/>
          <w:position w:val="4"/>
          <w:sz w:val="24"/>
          <w:szCs w:val="24"/>
          <w:rtl/>
        </w:rPr>
        <w:t>-</w:t>
      </w:r>
      <w:r>
        <w:rPr>
          <w:rFonts w:ascii="David" w:hAnsi="David" w:cs="David"/>
          <w:b/>
          <w:bCs/>
          <w:sz w:val="24"/>
          <w:szCs w:val="24"/>
          <w:rtl/>
        </w:rPr>
        <w:t>פי מכלול הנתונים המובאים בפניה ועל</w:t>
      </w:r>
      <w:r>
        <w:rPr>
          <w:rFonts w:ascii="David" w:hAnsi="David" w:cs="David"/>
          <w:b/>
          <w:bCs/>
          <w:position w:val="4"/>
          <w:sz w:val="24"/>
          <w:szCs w:val="24"/>
          <w:rtl/>
        </w:rPr>
        <w:t>-</w:t>
      </w:r>
      <w:r>
        <w:rPr>
          <w:rFonts w:ascii="David" w:hAnsi="David" w:cs="David"/>
          <w:b/>
          <w:bCs/>
          <w:sz w:val="24"/>
          <w:szCs w:val="24"/>
          <w:rtl/>
        </w:rPr>
        <w:t>פי הבדיקות שהיא מקיימת"</w:t>
      </w:r>
      <w:r>
        <w:rPr>
          <w:rFonts w:ascii="David" w:hAnsi="David" w:cs="David"/>
          <w:sz w:val="24"/>
          <w:szCs w:val="24"/>
          <w:rtl/>
        </w:rPr>
        <w:t xml:space="preserve">, וזאת בתוקף היותה טריבונל מקצועי-רפואי </w:t>
      </w:r>
      <w:r>
        <w:rPr>
          <w:rFonts w:ascii="David" w:eastAsiaTheme="minorHAnsi" w:hAnsi="David" w:cs="David"/>
          <w:noProof w:val="0"/>
          <w:sz w:val="24"/>
          <w:szCs w:val="24"/>
          <w:rtl/>
          <w:lang w:eastAsia="en-US"/>
        </w:rPr>
        <w:t xml:space="preserve">[בג"ץ 1082/02 </w:t>
      </w:r>
      <w:r>
        <w:rPr>
          <w:rFonts w:ascii="David" w:eastAsiaTheme="minorHAnsi" w:hAnsi="David" w:cs="David"/>
          <w:b/>
          <w:bCs/>
          <w:noProof w:val="0"/>
          <w:sz w:val="24"/>
          <w:szCs w:val="24"/>
          <w:rtl/>
          <w:lang w:eastAsia="en-US"/>
        </w:rPr>
        <w:t>המוסד לביטוח לאומי נ' בית-הדין הארצי לעבודה,</w:t>
      </w:r>
      <w:r>
        <w:rPr>
          <w:rFonts w:ascii="David" w:eastAsiaTheme="minorHAnsi" w:hAnsi="David" w:cs="David"/>
          <w:noProof w:val="0"/>
          <w:sz w:val="24"/>
          <w:szCs w:val="24"/>
          <w:rtl/>
          <w:lang w:eastAsia="en-US"/>
        </w:rPr>
        <w:t xml:space="preserve"> פ"ד </w:t>
      </w:r>
      <w:proofErr w:type="spellStart"/>
      <w:r>
        <w:rPr>
          <w:rFonts w:ascii="David" w:eastAsiaTheme="minorHAnsi" w:hAnsi="David" w:cs="David"/>
          <w:noProof w:val="0"/>
          <w:sz w:val="24"/>
          <w:szCs w:val="24"/>
          <w:rtl/>
          <w:lang w:eastAsia="en-US"/>
        </w:rPr>
        <w:t>נז</w:t>
      </w:r>
      <w:proofErr w:type="spellEnd"/>
      <w:r>
        <w:rPr>
          <w:rFonts w:ascii="David" w:eastAsiaTheme="minorHAnsi" w:hAnsi="David" w:cs="David"/>
          <w:noProof w:val="0"/>
          <w:sz w:val="24"/>
          <w:szCs w:val="24"/>
          <w:rtl/>
          <w:lang w:eastAsia="en-US"/>
        </w:rPr>
        <w:t xml:space="preserve">(4) 443 (2003)] (להלן: </w:t>
      </w:r>
      <w:r>
        <w:rPr>
          <w:rFonts w:ascii="David" w:eastAsiaTheme="minorHAnsi" w:hAnsi="David" w:cs="David"/>
          <w:b/>
          <w:bCs/>
          <w:noProof w:val="0"/>
          <w:sz w:val="24"/>
          <w:szCs w:val="24"/>
          <w:rtl/>
          <w:lang w:eastAsia="en-US"/>
        </w:rPr>
        <w:t>"עניין בג"צ 1082/02"</w:t>
      </w:r>
      <w:r>
        <w:rPr>
          <w:rFonts w:ascii="David" w:eastAsiaTheme="minorHAnsi" w:hAnsi="David" w:cs="David"/>
          <w:noProof w:val="0"/>
          <w:sz w:val="24"/>
          <w:szCs w:val="24"/>
          <w:rtl/>
          <w:lang w:eastAsia="en-US"/>
        </w:rPr>
        <w:t>).</w:t>
      </w:r>
    </w:p>
    <w:p w:rsidR="000B74E6" w:rsidRDefault="000B74E6" w:rsidP="000B74E6">
      <w:pPr>
        <w:pStyle w:val="P00"/>
        <w:spacing w:before="0" w:line="360" w:lineRule="auto"/>
        <w:ind w:left="360"/>
        <w:rPr>
          <w:rFonts w:ascii="David" w:hAnsi="David" w:cs="David"/>
          <w:sz w:val="24"/>
          <w:szCs w:val="24"/>
        </w:rPr>
      </w:pPr>
    </w:p>
    <w:p w:rsidR="000B74E6" w:rsidRDefault="000B74E6" w:rsidP="000B74E6">
      <w:pPr>
        <w:pStyle w:val="P00"/>
        <w:numPr>
          <w:ilvl w:val="0"/>
          <w:numId w:val="1"/>
        </w:numPr>
        <w:spacing w:before="0" w:line="360" w:lineRule="auto"/>
        <w:ind w:left="360" w:hanging="510"/>
        <w:rPr>
          <w:rFonts w:ascii="David" w:hAnsi="David" w:cs="David"/>
          <w:sz w:val="24"/>
          <w:szCs w:val="24"/>
        </w:rPr>
      </w:pPr>
      <w:r>
        <w:rPr>
          <w:rFonts w:ascii="David" w:hAnsi="David" w:cs="David"/>
          <w:sz w:val="24"/>
          <w:szCs w:val="24"/>
          <w:rtl/>
        </w:rPr>
        <w:t>עניין זה מובילֵנו לטענת המבקשת בדבר קיומו של השתק שיפוטי, שעה ש</w:t>
      </w:r>
      <w:r>
        <w:rPr>
          <w:rFonts w:cs="David"/>
          <w:sz w:val="24"/>
          <w:szCs w:val="24"/>
          <w:rtl/>
        </w:rPr>
        <w:t xml:space="preserve">לטענתה הביע היועץ המשפטי לממשלה בעניין </w:t>
      </w:r>
      <w:r>
        <w:rPr>
          <w:rFonts w:cs="David"/>
          <w:b/>
          <w:bCs/>
          <w:sz w:val="24"/>
          <w:szCs w:val="24"/>
          <w:rtl/>
        </w:rPr>
        <w:t>אליהו</w:t>
      </w:r>
      <w:r>
        <w:rPr>
          <w:rFonts w:cs="David"/>
          <w:sz w:val="24"/>
          <w:szCs w:val="24"/>
          <w:rtl/>
        </w:rPr>
        <w:t xml:space="preserve"> עמדה הפוכה מעמדתו בהליך הנוכחי, וטען שם כי ההליך בפני הוועדה לערעורים אינו כהליך שיפוטי המתנהל בבית משפט וכי "אין מדובר בהתדיינות בין שני יריבים". עמדה זו התקבלה לדברי המבקשת על ידי בית המשפט באותו הליך, ולכן מנוע היועמ"ש מלטעון בהליך הנוכחי טענה הפוכה לטענה שטען בעניין אליהו.</w:t>
      </w:r>
      <w:r>
        <w:rPr>
          <w:rFonts w:ascii="David" w:hAnsi="David" w:cs="David"/>
          <w:sz w:val="24"/>
          <w:szCs w:val="24"/>
          <w:rtl/>
        </w:rPr>
        <w:t xml:space="preserve"> טענה זו נטענה על ידי המבקשת בנוסף לטענה לגוף העניין כי אין מקום להענקת חסינות שיפוטית לוועדה לערעורים.</w:t>
      </w:r>
    </w:p>
    <w:p w:rsidR="000B74E6" w:rsidRDefault="000B74E6" w:rsidP="000B74E6">
      <w:pPr>
        <w:pStyle w:val="P00"/>
        <w:spacing w:before="0" w:line="360" w:lineRule="auto"/>
        <w:ind w:left="360"/>
        <w:rPr>
          <w:rFonts w:ascii="David" w:hAnsi="David" w:cs="David"/>
          <w:sz w:val="24"/>
          <w:szCs w:val="24"/>
        </w:rPr>
      </w:pPr>
    </w:p>
    <w:p w:rsidR="000B74E6" w:rsidRDefault="000B74E6" w:rsidP="000B74E6">
      <w:pPr>
        <w:pStyle w:val="P00"/>
        <w:numPr>
          <w:ilvl w:val="0"/>
          <w:numId w:val="1"/>
        </w:numPr>
        <w:spacing w:before="0" w:line="360" w:lineRule="auto"/>
        <w:ind w:left="360" w:hanging="510"/>
        <w:rPr>
          <w:rFonts w:ascii="David" w:hAnsi="David" w:cs="David"/>
          <w:sz w:val="24"/>
          <w:szCs w:val="24"/>
          <w:rtl/>
        </w:rPr>
      </w:pPr>
      <w:r>
        <w:rPr>
          <w:rFonts w:ascii="David" w:hAnsi="David" w:cs="David"/>
          <w:sz w:val="24"/>
          <w:szCs w:val="24"/>
          <w:rtl/>
        </w:rPr>
        <w:t>עיון בעמדת היועץ המשפטי לממשלה בעניין אליהו (אשר צורפה להתייחסות המבקשת לעמדת היועמ"ש) מעלה כי בסעיף 49 לעמדה הנ"ל</w:t>
      </w:r>
      <w:r>
        <w:rPr>
          <w:rFonts w:ascii="David" w:hAnsi="David" w:cs="David"/>
          <w:b/>
          <w:bCs/>
          <w:sz w:val="24"/>
          <w:szCs w:val="24"/>
          <w:rtl/>
        </w:rPr>
        <w:t xml:space="preserve"> </w:t>
      </w:r>
      <w:r>
        <w:rPr>
          <w:rFonts w:ascii="David" w:hAnsi="David" w:cs="David"/>
          <w:sz w:val="24"/>
          <w:szCs w:val="24"/>
          <w:rtl/>
        </w:rPr>
        <w:t xml:space="preserve">הביא היועמ"ש ציטוט מפסק הדין בעניין בג"צ 1082/02 אשר ציטט בעצמו את דב"ע נד/01-14 </w:t>
      </w:r>
      <w:r>
        <w:rPr>
          <w:rFonts w:ascii="David" w:hAnsi="David" w:cs="David"/>
          <w:b/>
          <w:bCs/>
          <w:sz w:val="24"/>
          <w:szCs w:val="24"/>
          <w:rtl/>
        </w:rPr>
        <w:t>חיון – המוסד לביטוח לאומי</w:t>
      </w:r>
      <w:r>
        <w:rPr>
          <w:rFonts w:ascii="David" w:hAnsi="David" w:cs="David"/>
          <w:sz w:val="24"/>
          <w:szCs w:val="24"/>
          <w:rtl/>
        </w:rPr>
        <w:t xml:space="preserve">, פד"ע כז, 242, 246 (1994) שם נקבע כי: </w:t>
      </w:r>
      <w:r>
        <w:rPr>
          <w:rFonts w:ascii="David" w:hAnsi="David" w:cs="David"/>
          <w:b/>
          <w:bCs/>
          <w:sz w:val="24"/>
          <w:szCs w:val="24"/>
          <w:rtl/>
          <w:lang w:eastAsia="en-US"/>
        </w:rPr>
        <w:t>"אין מדובר בהתדיינות בין שני יריבים אלא בוועדה מקצועית אשר על יסוד בדיקתו של נכה, עיון במסמכים רפואיים ועשיית שימוש בידע הרפואי שלה קובעת את נכותו של המבוטח</w:t>
      </w:r>
      <w:r>
        <w:rPr>
          <w:rFonts w:ascii="David" w:hAnsi="David" w:cs="David"/>
          <w:b/>
          <w:bCs/>
          <w:sz w:val="24"/>
          <w:szCs w:val="24"/>
          <w:rtl/>
        </w:rPr>
        <w:t>"</w:t>
      </w:r>
      <w:r>
        <w:rPr>
          <w:rFonts w:ascii="David" w:hAnsi="David" w:cs="David"/>
          <w:sz w:val="24"/>
          <w:szCs w:val="24"/>
          <w:rtl/>
        </w:rPr>
        <w:t>.</w:t>
      </w:r>
    </w:p>
    <w:p w:rsidR="000B74E6" w:rsidRDefault="000B74E6" w:rsidP="000B74E6">
      <w:pPr>
        <w:pStyle w:val="P00"/>
        <w:spacing w:before="0" w:line="360" w:lineRule="auto"/>
        <w:ind w:left="360"/>
        <w:rPr>
          <w:rFonts w:ascii="David" w:hAnsi="David" w:cs="David"/>
          <w:sz w:val="24"/>
          <w:szCs w:val="24"/>
          <w:rtl/>
        </w:rPr>
      </w:pPr>
      <w:r>
        <w:rPr>
          <w:rFonts w:ascii="David" w:hAnsi="David" w:cs="David"/>
          <w:sz w:val="24"/>
          <w:szCs w:val="24"/>
          <w:rtl/>
        </w:rPr>
        <w:t xml:space="preserve">היועץ המשפטי לממשלה מבהיר בתשובתו לטענת המבקשת דנן כי העובדה שההתדיינות בוועדה לערעורים אינה מהווה התדיינות רגילה בין שני יריבים "קלאסיים", המוכרים לנו מהליך אדברסרי "רגיל", אשר במסגרתו יכולים הם להגיע להסכמות הדדיות, אינה מאיינת את תפקידה המעין שיפוטי של הוועדה, כוועדה רפואית-מקצועית. ועדה לערעורים נדרשת </w:t>
      </w:r>
      <w:r>
        <w:rPr>
          <w:rFonts w:ascii="David" w:hAnsi="David" w:cs="David"/>
          <w:sz w:val="24"/>
          <w:szCs w:val="24"/>
          <w:rtl/>
        </w:rPr>
        <w:lastRenderedPageBreak/>
        <w:t>להכריע בהליך שהוא "דמוי משפט" במחלוקות רפואיות בין המבוטח לבין המוסד ולפסוק בזכויות המבוטח, תוך הפעלת ביקורת שיפוטית רחבה על החלטת הוועדה הרפואית מדרג ראשון (זאת, אף אם צד אחד אינו מתייצב פיזית לדיון בערר). לפיכך מסורה גם לשני הצדדים זכות לערער על החלטת ועדה לערעורים בשאלה משפטית בפני בית הדין האזורי לעבודה.</w:t>
      </w:r>
    </w:p>
    <w:p w:rsidR="000B74E6" w:rsidRDefault="000B74E6" w:rsidP="000B74E6">
      <w:pPr>
        <w:pStyle w:val="P00"/>
        <w:spacing w:before="0" w:line="360" w:lineRule="auto"/>
        <w:ind w:left="360"/>
        <w:rPr>
          <w:rFonts w:ascii="David" w:hAnsi="David" w:cs="David"/>
          <w:sz w:val="24"/>
          <w:szCs w:val="24"/>
          <w:rtl/>
        </w:rPr>
      </w:pPr>
      <w:r>
        <w:rPr>
          <w:rFonts w:ascii="David" w:hAnsi="David" w:cs="David"/>
          <w:sz w:val="24"/>
          <w:szCs w:val="24"/>
          <w:rtl/>
        </w:rPr>
        <w:t>היועץ המשפטי לממשלה דוחה את טענת המבקשת כי מדובר בשתי עמדות "הפוכות" (זו שבעניין אליהו וזו שבהליך הנוכחי), ומציין כי בעניין אליהו נדונה השאלה האם יכולה ועדה לערעורים להטיל על המוסד לבצע מעקב סמוי אחר המבוטח לצורך אימות נתונים וקביעת עובדות, ואילו בענייננו עסקה העמדה במעמדה המעין שיפוטי של ועדה לערעורים.</w:t>
      </w:r>
    </w:p>
    <w:p w:rsidR="000B74E6" w:rsidRDefault="000B74E6" w:rsidP="000B74E6">
      <w:pPr>
        <w:pStyle w:val="P00"/>
        <w:spacing w:before="0" w:line="360" w:lineRule="auto"/>
        <w:ind w:left="360"/>
        <w:rPr>
          <w:rFonts w:ascii="David" w:hAnsi="David" w:cs="David"/>
          <w:sz w:val="24"/>
          <w:szCs w:val="24"/>
          <w:rtl/>
        </w:rPr>
      </w:pPr>
    </w:p>
    <w:p w:rsidR="000B74E6" w:rsidRDefault="000B74E6" w:rsidP="000B74E6">
      <w:pPr>
        <w:pStyle w:val="P00"/>
        <w:numPr>
          <w:ilvl w:val="0"/>
          <w:numId w:val="1"/>
        </w:numPr>
        <w:spacing w:before="0" w:line="360" w:lineRule="auto"/>
        <w:ind w:left="360" w:hanging="510"/>
        <w:rPr>
          <w:rFonts w:ascii="David" w:hAnsi="David" w:cs="David"/>
          <w:sz w:val="24"/>
          <w:szCs w:val="24"/>
        </w:rPr>
      </w:pPr>
      <w:r>
        <w:rPr>
          <w:rFonts w:ascii="David" w:hAnsi="David" w:cs="David"/>
          <w:sz w:val="24"/>
          <w:szCs w:val="24"/>
          <w:rtl/>
        </w:rPr>
        <w:t xml:space="preserve">אציין תחילה כי אני מקבל את עמדת היועמ"ש כי שתי העמדות שנזכרו לעיל אינן "הפוכות". העמדה בעניין אליהו, אשר עסק בעניין אחר מהעניין הנוכחי, הזכירה כי מדובר בהליך מעין שיפוטי בוועדה לערעורים, וכן את האלמנטים הייחודיים שבהליך זה, כפי שנקבעו עוד קודם לכן בפסיקה. גם בעמדה הנוכחית חזר היועמ"ש על כך. העובדה כי בעמדה בעניין אליהו נכלל גם המשפט שצוטט לעיל כי </w:t>
      </w:r>
      <w:r>
        <w:rPr>
          <w:rFonts w:ascii="David" w:hAnsi="David" w:cs="David"/>
          <w:b/>
          <w:bCs/>
          <w:sz w:val="24"/>
          <w:szCs w:val="24"/>
          <w:rtl/>
          <w:lang w:eastAsia="en-US"/>
        </w:rPr>
        <w:t>"אין מדובר בהתדיינות בין שני יריבים אלא בוועדה מקצועית</w:t>
      </w:r>
      <w:r>
        <w:rPr>
          <w:rFonts w:ascii="David" w:hAnsi="David" w:cs="David"/>
          <w:sz w:val="24"/>
          <w:szCs w:val="24"/>
          <w:rtl/>
        </w:rPr>
        <w:t>", שלא היה אלא חזרה על הציטוט הנזכר בסעיף 69 לעיל, אינה מביאה לסתירה בין שתי העמדות, שכן שני הצדדים אינם בהכרח מתדיינים בפני ועדה לערעורים במובנה הקלאסי של ההתדיינות, וזאת בשל המאפיינים המיוחדים של ועדה לערעורים שנזכרו לעיל, כולל בדיקה עצמאית של הנפגע על ידי הוועדה, והליך שעשוי ללבוש אופי אינקוויזיטורי. עם זאת, אין מדובר בצד אחד בלבד, כפי שעוד יוסבר להלן. עקרונות מאפייניה ועבודתה של ועדה לערעורים הוצגו באופן דומה בשתי העמדות.</w:t>
      </w:r>
    </w:p>
    <w:p w:rsidR="000B74E6" w:rsidRDefault="000B74E6" w:rsidP="000B74E6">
      <w:pPr>
        <w:pStyle w:val="P00"/>
        <w:spacing w:before="0" w:line="360" w:lineRule="auto"/>
        <w:ind w:left="360"/>
        <w:rPr>
          <w:rFonts w:ascii="David" w:hAnsi="David" w:cs="David"/>
          <w:sz w:val="24"/>
          <w:szCs w:val="24"/>
        </w:rPr>
      </w:pPr>
    </w:p>
    <w:p w:rsidR="000B74E6" w:rsidRDefault="000B74E6" w:rsidP="000B74E6">
      <w:pPr>
        <w:pStyle w:val="P00"/>
        <w:numPr>
          <w:ilvl w:val="0"/>
          <w:numId w:val="1"/>
        </w:numPr>
        <w:spacing w:before="0" w:line="360" w:lineRule="auto"/>
        <w:ind w:left="360" w:hanging="510"/>
        <w:rPr>
          <w:rFonts w:ascii="David" w:hAnsi="David" w:cs="David"/>
          <w:sz w:val="24"/>
          <w:szCs w:val="24"/>
        </w:rPr>
      </w:pPr>
      <w:r>
        <w:rPr>
          <w:rFonts w:ascii="David" w:hAnsi="David" w:cs="David"/>
          <w:sz w:val="24"/>
          <w:szCs w:val="24"/>
          <w:rtl/>
        </w:rPr>
        <w:t xml:space="preserve">לגוף העניין, מצאתי כי בוועדה לערעורים מתקיימות שתי הדרישות שנקבעו בעניין </w:t>
      </w:r>
      <w:r>
        <w:rPr>
          <w:rFonts w:ascii="David" w:hAnsi="David" w:cs="David"/>
          <w:b/>
          <w:bCs/>
          <w:sz w:val="24"/>
          <w:szCs w:val="24"/>
          <w:rtl/>
        </w:rPr>
        <w:t>רוטברד</w:t>
      </w:r>
      <w:r>
        <w:rPr>
          <w:rFonts w:ascii="David" w:hAnsi="David" w:cs="David"/>
          <w:sz w:val="24"/>
          <w:szCs w:val="24"/>
          <w:rtl/>
        </w:rPr>
        <w:t xml:space="preserve"> להחלתו של סעיף 8 לפקודת הנזיקין לגביה: היא מבצעת פונקציה שיפוטית, וההליך במסגרתו מבוצעת פונקציה זו הוא הליך דמוי הליך שיפוטי.</w:t>
      </w:r>
    </w:p>
    <w:p w:rsidR="000B74E6" w:rsidRDefault="000B74E6" w:rsidP="000B74E6">
      <w:pPr>
        <w:pStyle w:val="P00"/>
        <w:spacing w:before="0" w:line="360" w:lineRule="auto"/>
        <w:ind w:left="360"/>
        <w:rPr>
          <w:rFonts w:ascii="David" w:hAnsi="David" w:cs="David"/>
          <w:sz w:val="24"/>
          <w:szCs w:val="24"/>
        </w:rPr>
      </w:pPr>
    </w:p>
    <w:p w:rsidR="000B74E6" w:rsidRDefault="000B74E6" w:rsidP="000B74E6">
      <w:pPr>
        <w:pStyle w:val="P00"/>
        <w:numPr>
          <w:ilvl w:val="0"/>
          <w:numId w:val="1"/>
        </w:numPr>
        <w:spacing w:before="0" w:line="360" w:lineRule="auto"/>
        <w:ind w:left="360" w:hanging="510"/>
        <w:rPr>
          <w:rFonts w:ascii="David" w:hAnsi="David" w:cs="David"/>
          <w:sz w:val="24"/>
          <w:szCs w:val="24"/>
        </w:rPr>
      </w:pPr>
      <w:r>
        <w:rPr>
          <w:rFonts w:ascii="David" w:hAnsi="David" w:cs="David"/>
          <w:sz w:val="24"/>
          <w:szCs w:val="24"/>
          <w:rtl/>
        </w:rPr>
        <w:t xml:space="preserve">תחילה אציין כי היקף תחולתו של סעיף 8 הנ"ל הורחב זה מכבר לגופים ולאנשים נוספים המבצעים פונקציות שיפוטיות במסגרת הליך דמוי הליך שיפוטי. לעניין זה ר' ע"א 2394/02 </w:t>
      </w:r>
      <w:r>
        <w:rPr>
          <w:rFonts w:ascii="David" w:hAnsi="David" w:cs="David"/>
          <w:b/>
          <w:bCs/>
          <w:sz w:val="24"/>
          <w:szCs w:val="24"/>
          <w:rtl/>
        </w:rPr>
        <w:t>פלונים נ' משטרת ישראל</w:t>
      </w:r>
      <w:r>
        <w:rPr>
          <w:rFonts w:ascii="David" w:hAnsi="David" w:cs="David"/>
          <w:sz w:val="24"/>
          <w:szCs w:val="24"/>
          <w:rtl/>
        </w:rPr>
        <w:t xml:space="preserve"> פסקה 22 (10.4.19) (החלת הסעיף על ועדת שחרורים, ואזכור החלתו על הפסיכיאטר המחוזי בבואו להפעיל סמכויות מעין שיפוטיות), וכן את הרשימה המופיעה בפסק דינו של כב' השופט גיא הימן בת"ק (ת"א) 68461-12-19 </w:t>
      </w:r>
      <w:r>
        <w:rPr>
          <w:rFonts w:ascii="David" w:hAnsi="David" w:cs="David"/>
          <w:b/>
          <w:bCs/>
          <w:sz w:val="24"/>
          <w:szCs w:val="24"/>
          <w:rtl/>
        </w:rPr>
        <w:t xml:space="preserve">פלוני נ' ד"ר עמרמי </w:t>
      </w:r>
      <w:r>
        <w:rPr>
          <w:rFonts w:ascii="David" w:hAnsi="David" w:cs="David"/>
          <w:sz w:val="24"/>
          <w:szCs w:val="24"/>
          <w:rtl/>
        </w:rPr>
        <w:t xml:space="preserve">פסקה 7 (26.7.20) (להלן: </w:t>
      </w:r>
      <w:r>
        <w:rPr>
          <w:rFonts w:ascii="David" w:hAnsi="David" w:cs="David"/>
          <w:b/>
          <w:bCs/>
          <w:sz w:val="24"/>
          <w:szCs w:val="24"/>
          <w:rtl/>
        </w:rPr>
        <w:t>"עניין ד"ר עמרמי"</w:t>
      </w:r>
      <w:r>
        <w:rPr>
          <w:rFonts w:ascii="David" w:hAnsi="David" w:cs="David"/>
          <w:sz w:val="24"/>
          <w:szCs w:val="24"/>
          <w:rtl/>
        </w:rPr>
        <w:t>).</w:t>
      </w:r>
    </w:p>
    <w:p w:rsidR="000B74E6" w:rsidRDefault="000B74E6" w:rsidP="000B74E6">
      <w:pPr>
        <w:pStyle w:val="P00"/>
        <w:spacing w:before="0" w:line="360" w:lineRule="auto"/>
        <w:ind w:left="360"/>
        <w:rPr>
          <w:rFonts w:ascii="David" w:hAnsi="David" w:cs="David"/>
          <w:sz w:val="24"/>
          <w:szCs w:val="24"/>
        </w:rPr>
      </w:pPr>
    </w:p>
    <w:p w:rsidR="000B74E6" w:rsidRDefault="000B74E6" w:rsidP="000B74E6">
      <w:pPr>
        <w:pStyle w:val="P00"/>
        <w:numPr>
          <w:ilvl w:val="0"/>
          <w:numId w:val="1"/>
        </w:numPr>
        <w:spacing w:before="0" w:line="360" w:lineRule="auto"/>
        <w:ind w:left="360" w:hanging="510"/>
        <w:rPr>
          <w:rFonts w:ascii="David" w:hAnsi="David" w:cs="David"/>
          <w:sz w:val="24"/>
          <w:szCs w:val="24"/>
        </w:rPr>
      </w:pPr>
      <w:r>
        <w:rPr>
          <w:rFonts w:ascii="David" w:hAnsi="David" w:cs="David"/>
          <w:sz w:val="24"/>
          <w:szCs w:val="24"/>
          <w:rtl/>
        </w:rPr>
        <w:t xml:space="preserve">באשר לוועדה לערעורים, עוד לפני זמן רב נקבע, כפי שנזכר לעיל, כי </w:t>
      </w:r>
      <w:r>
        <w:rPr>
          <w:rFonts w:ascii="David" w:eastAsiaTheme="minorHAnsi" w:hAnsi="David" w:cs="David"/>
          <w:noProof w:val="0"/>
          <w:sz w:val="24"/>
          <w:szCs w:val="24"/>
          <w:rtl/>
          <w:lang w:eastAsia="en-US"/>
        </w:rPr>
        <w:t>פעולתה היא "פעולה</w:t>
      </w:r>
      <w:r>
        <w:rPr>
          <w:rFonts w:ascii="David" w:eastAsiaTheme="minorHAnsi" w:hAnsi="David" w:cs="David"/>
          <w:noProof w:val="0"/>
          <w:sz w:val="24"/>
          <w:szCs w:val="24"/>
          <w:lang w:eastAsia="en-US"/>
        </w:rPr>
        <w:t xml:space="preserve"> </w:t>
      </w:r>
      <w:r>
        <w:rPr>
          <w:rFonts w:ascii="David" w:eastAsiaTheme="minorHAnsi" w:hAnsi="David" w:cs="David"/>
          <w:noProof w:val="0"/>
          <w:sz w:val="24"/>
          <w:szCs w:val="24"/>
          <w:rtl/>
          <w:lang w:eastAsia="en-US"/>
        </w:rPr>
        <w:t>פוסקת" -</w:t>
      </w:r>
      <w:r>
        <w:rPr>
          <w:rFonts w:ascii="David" w:eastAsiaTheme="minorHAnsi" w:hAnsi="David" w:cs="David"/>
          <w:noProof w:val="0"/>
          <w:sz w:val="24"/>
          <w:szCs w:val="24"/>
          <w:lang w:eastAsia="en-US"/>
        </w:rPr>
        <w:t xml:space="preserve">determinative function </w:t>
      </w:r>
      <w:r>
        <w:rPr>
          <w:rFonts w:ascii="David" w:eastAsiaTheme="minorHAnsi" w:hAnsi="David" w:cs="David"/>
          <w:noProof w:val="0"/>
          <w:sz w:val="24"/>
          <w:szCs w:val="24"/>
          <w:rtl/>
          <w:lang w:eastAsia="en-US"/>
        </w:rPr>
        <w:t xml:space="preserve"> - להבדיל מפעולת ביצוע </w:t>
      </w:r>
      <w:proofErr w:type="spellStart"/>
      <w:r>
        <w:rPr>
          <w:rFonts w:ascii="David" w:eastAsiaTheme="minorHAnsi" w:hAnsi="David" w:cs="David"/>
          <w:noProof w:val="0"/>
          <w:sz w:val="24"/>
          <w:szCs w:val="24"/>
          <w:rtl/>
          <w:lang w:eastAsia="en-US"/>
        </w:rPr>
        <w:t>ומינהל</w:t>
      </w:r>
      <w:proofErr w:type="spellEnd"/>
      <w:r>
        <w:rPr>
          <w:rFonts w:ascii="David" w:eastAsiaTheme="minorHAnsi" w:hAnsi="David" w:cs="David"/>
          <w:noProof w:val="0"/>
          <w:sz w:val="24"/>
          <w:szCs w:val="24"/>
          <w:rtl/>
          <w:lang w:eastAsia="en-US"/>
        </w:rPr>
        <w:t>" (</w:t>
      </w:r>
      <w:r>
        <w:rPr>
          <w:rFonts w:ascii="David" w:hAnsi="David" w:cs="David"/>
          <w:sz w:val="24"/>
          <w:szCs w:val="24"/>
          <w:rtl/>
        </w:rPr>
        <w:t xml:space="preserve">דיון ל/6-0 (ארצי) </w:t>
      </w:r>
      <w:r>
        <w:rPr>
          <w:rFonts w:ascii="David" w:hAnsi="David" w:cs="David"/>
          <w:b/>
          <w:bCs/>
          <w:sz w:val="24"/>
          <w:szCs w:val="24"/>
          <w:rtl/>
        </w:rPr>
        <w:lastRenderedPageBreak/>
        <w:t>אלחטיב</w:t>
      </w:r>
      <w:r>
        <w:rPr>
          <w:rFonts w:ascii="David" w:hAnsi="David" w:cs="David"/>
          <w:b/>
          <w:bCs/>
          <w:sz w:val="24"/>
          <w:szCs w:val="24"/>
        </w:rPr>
        <w:t xml:space="preserve"> </w:t>
      </w:r>
      <w:r>
        <w:rPr>
          <w:rFonts w:ascii="David" w:hAnsi="David" w:cs="David"/>
          <w:b/>
          <w:bCs/>
          <w:sz w:val="24"/>
          <w:szCs w:val="24"/>
          <w:rtl/>
        </w:rPr>
        <w:t xml:space="preserve">נ' המוסד לביטוח לאומי, </w:t>
      </w:r>
      <w:r>
        <w:rPr>
          <w:rFonts w:ascii="David" w:hAnsi="David" w:cs="David"/>
          <w:sz w:val="24"/>
          <w:szCs w:val="24"/>
          <w:rtl/>
        </w:rPr>
        <w:t xml:space="preserve">פד"ע א 157, 161 (1970). </w:t>
      </w:r>
      <w:r>
        <w:rPr>
          <w:rFonts w:ascii="David" w:eastAsiaTheme="minorHAnsi" w:hAnsi="David" w:cs="David"/>
          <w:noProof w:val="0"/>
          <w:sz w:val="24"/>
          <w:szCs w:val="24"/>
          <w:rtl/>
          <w:lang w:eastAsia="en-US"/>
        </w:rPr>
        <w:t xml:space="preserve">הקביעה כי פעולת הוועדה לערעורים היא פעולה פוסקת מלמדת כי מדובר בפונקציה שיפוטית </w:t>
      </w:r>
      <w:r>
        <w:rPr>
          <w:rFonts w:asciiTheme="minorHAnsi" w:eastAsiaTheme="minorHAnsi" w:hAnsiTheme="minorHAnsi" w:cs="David"/>
          <w:sz w:val="24"/>
          <w:szCs w:val="24"/>
          <w:rtl/>
          <w:lang w:eastAsia="en-US"/>
        </w:rPr>
        <w:t>[השוו: ע"א 219/79</w:t>
      </w:r>
      <w:r>
        <w:rPr>
          <w:rFonts w:asciiTheme="minorHAnsi" w:eastAsiaTheme="minorHAnsi" w:hAnsiTheme="minorHAnsi" w:cs="David"/>
          <w:sz w:val="24"/>
          <w:szCs w:val="24"/>
          <w:lang w:eastAsia="en-US"/>
        </w:rPr>
        <w:t xml:space="preserve"> </w:t>
      </w:r>
      <w:r>
        <w:rPr>
          <w:rFonts w:asciiTheme="minorHAnsi" w:eastAsiaTheme="minorHAnsi" w:hAnsiTheme="minorHAnsi" w:cs="David"/>
          <w:b/>
          <w:bCs/>
          <w:sz w:val="24"/>
          <w:szCs w:val="24"/>
          <w:rtl/>
          <w:lang w:eastAsia="en-US"/>
        </w:rPr>
        <w:t>ד"ר ירמלוביץ</w:t>
      </w:r>
      <w:r>
        <w:rPr>
          <w:rFonts w:asciiTheme="minorHAnsi" w:eastAsiaTheme="minorHAnsi" w:hAnsiTheme="minorHAnsi" w:cs="David"/>
          <w:b/>
          <w:bCs/>
          <w:sz w:val="24"/>
          <w:szCs w:val="24"/>
          <w:lang w:eastAsia="en-US"/>
        </w:rPr>
        <w:t xml:space="preserve"> </w:t>
      </w:r>
      <w:r>
        <w:rPr>
          <w:rFonts w:asciiTheme="minorHAnsi" w:eastAsiaTheme="minorHAnsi" w:hAnsiTheme="minorHAnsi" w:cs="David"/>
          <w:b/>
          <w:bCs/>
          <w:sz w:val="24"/>
          <w:szCs w:val="24"/>
          <w:rtl/>
          <w:lang w:eastAsia="en-US"/>
        </w:rPr>
        <w:t>נ' חובב,</w:t>
      </w:r>
      <w:r>
        <w:rPr>
          <w:rFonts w:asciiTheme="minorHAnsi" w:eastAsiaTheme="minorHAnsi" w:hAnsiTheme="minorHAnsi" w:cs="David"/>
          <w:sz w:val="24"/>
          <w:szCs w:val="24"/>
          <w:rtl/>
          <w:lang w:eastAsia="en-US"/>
        </w:rPr>
        <w:t xml:space="preserve"> פ"ד לה(3) 766, 770-769 (1980)]. </w:t>
      </w:r>
    </w:p>
    <w:p w:rsidR="000B74E6" w:rsidRDefault="000B74E6" w:rsidP="000B74E6">
      <w:pPr>
        <w:pStyle w:val="ad"/>
        <w:spacing w:after="0" w:line="360" w:lineRule="auto"/>
        <w:rPr>
          <w:rFonts w:ascii="David" w:hAnsi="David" w:cs="David"/>
          <w:sz w:val="24"/>
          <w:szCs w:val="24"/>
        </w:rPr>
      </w:pPr>
    </w:p>
    <w:p w:rsidR="000B74E6" w:rsidRDefault="000B74E6" w:rsidP="000B74E6">
      <w:pPr>
        <w:pStyle w:val="P00"/>
        <w:numPr>
          <w:ilvl w:val="0"/>
          <w:numId w:val="1"/>
        </w:numPr>
        <w:spacing w:before="0" w:line="360" w:lineRule="auto"/>
        <w:ind w:left="360" w:hanging="510"/>
        <w:rPr>
          <w:rFonts w:ascii="David" w:hAnsi="David" w:cs="David"/>
          <w:sz w:val="24"/>
          <w:szCs w:val="24"/>
          <w:rtl/>
        </w:rPr>
      </w:pPr>
      <w:r>
        <w:rPr>
          <w:rFonts w:ascii="David" w:hAnsi="David" w:cs="David"/>
          <w:sz w:val="24"/>
          <w:szCs w:val="24"/>
          <w:rtl/>
        </w:rPr>
        <w:t>בהליך המתנהל בפני ועדה לערעורים מעורבים שני צדדים, המבוטח והמוסד. לכל אחד מהם קיימת זכות להגיש לוועדה לערעורים ערעור על החלטת הוועדה הראשונה. אם רק אחד משני צדדים אלה הגיש ערעור, ברי כי הצד השני תומך בקביעת הוועדה הראשונה ואינו חפץ לשנותה. כך, על ועדה לערעורים להכריע בין 2 עמדות מנוגדות. העובדה כי היא רשאית ומוסמכת לבצע בדיקות עצמאיות משלה ולקיים הליך אינקויזיטורי לעתים, אינה משנה או גורעת מהאמור לעיל.</w:t>
      </w:r>
    </w:p>
    <w:p w:rsidR="000B74E6" w:rsidRDefault="000B74E6" w:rsidP="000B74E6">
      <w:pPr>
        <w:pStyle w:val="P00"/>
        <w:spacing w:before="0" w:line="360" w:lineRule="auto"/>
        <w:ind w:left="360"/>
        <w:rPr>
          <w:rFonts w:ascii="David" w:hAnsi="David" w:cs="David"/>
          <w:sz w:val="24"/>
          <w:szCs w:val="24"/>
        </w:rPr>
      </w:pPr>
      <w:r>
        <w:rPr>
          <w:rFonts w:ascii="David" w:eastAsiaTheme="minorHAnsi" w:hAnsi="David" w:cs="David"/>
          <w:noProof w:val="0"/>
          <w:sz w:val="24"/>
          <w:szCs w:val="24"/>
          <w:rtl/>
          <w:lang w:eastAsia="en-US"/>
        </w:rPr>
        <w:t xml:space="preserve">על החלטתה של ועדה לערעורים רשאים הן הנפגע הן </w:t>
      </w:r>
      <w:proofErr w:type="spellStart"/>
      <w:r>
        <w:rPr>
          <w:rFonts w:ascii="David" w:eastAsiaTheme="minorHAnsi" w:hAnsi="David" w:cs="David"/>
          <w:noProof w:val="0"/>
          <w:sz w:val="24"/>
          <w:szCs w:val="24"/>
          <w:rtl/>
          <w:lang w:eastAsia="en-US"/>
        </w:rPr>
        <w:t>המל"ל</w:t>
      </w:r>
      <w:proofErr w:type="spellEnd"/>
      <w:r>
        <w:rPr>
          <w:rFonts w:ascii="David" w:eastAsiaTheme="minorHAnsi" w:hAnsi="David" w:cs="David"/>
          <w:noProof w:val="0"/>
          <w:sz w:val="24"/>
          <w:szCs w:val="24"/>
          <w:rtl/>
          <w:lang w:eastAsia="en-US"/>
        </w:rPr>
        <w:t xml:space="preserve"> להגיש לבית הדין האזורי לעבודה ערעור, בשאלה משפטית. והדבר מלמד כי ניתן לראות בהחלטתה הכרעה בסכסוך בין המבוטח </w:t>
      </w:r>
      <w:proofErr w:type="spellStart"/>
      <w:r>
        <w:rPr>
          <w:rFonts w:ascii="David" w:eastAsiaTheme="minorHAnsi" w:hAnsi="David" w:cs="David"/>
          <w:noProof w:val="0"/>
          <w:sz w:val="24"/>
          <w:szCs w:val="24"/>
          <w:rtl/>
          <w:lang w:eastAsia="en-US"/>
        </w:rPr>
        <w:t>למל"ל</w:t>
      </w:r>
      <w:proofErr w:type="spellEnd"/>
      <w:r>
        <w:rPr>
          <w:rFonts w:ascii="David" w:eastAsiaTheme="minorHAnsi" w:hAnsi="David" w:cs="David"/>
          <w:noProof w:val="0"/>
          <w:sz w:val="24"/>
          <w:szCs w:val="24"/>
          <w:rtl/>
          <w:lang w:eastAsia="en-US"/>
        </w:rPr>
        <w:t>.</w:t>
      </w:r>
      <w:r>
        <w:rPr>
          <w:rFonts w:ascii="David" w:hAnsi="David" w:cs="David"/>
          <w:sz w:val="24"/>
          <w:szCs w:val="24"/>
          <w:rtl/>
        </w:rPr>
        <w:t xml:space="preserve"> כמו כן, כשמוגש ערעור על ידי המבוטח, מופנה הוא נגד המוסד, שהוא בעל הדין שכנגד בערעור.</w:t>
      </w:r>
    </w:p>
    <w:p w:rsidR="000B74E6" w:rsidRDefault="000B74E6" w:rsidP="000B74E6">
      <w:pPr>
        <w:pStyle w:val="P00"/>
        <w:spacing w:before="0" w:line="360" w:lineRule="auto"/>
        <w:ind w:left="360"/>
        <w:rPr>
          <w:rFonts w:ascii="David" w:hAnsi="David" w:cs="David"/>
          <w:sz w:val="24"/>
          <w:szCs w:val="24"/>
          <w:rtl/>
        </w:rPr>
      </w:pPr>
      <w:r>
        <w:rPr>
          <w:rFonts w:ascii="David" w:hAnsi="David" w:cs="David"/>
          <w:sz w:val="24"/>
          <w:szCs w:val="24"/>
          <w:rtl/>
        </w:rPr>
        <w:t xml:space="preserve">ועוד, כמפורט בסעיף 79 להלן, התקבלה בקשת המבקשת להוספת ראיה בדמות מכרז למיקור חוץ של שירותי ניהול ותפעול ועדות ערר. בסעיף 2.14.1 במכרז הנושא כותרת של </w:t>
      </w:r>
      <w:r>
        <w:rPr>
          <w:rFonts w:ascii="David" w:hAnsi="David" w:cs="David"/>
          <w:b/>
          <w:bCs/>
          <w:sz w:val="24"/>
          <w:szCs w:val="24"/>
          <w:rtl/>
        </w:rPr>
        <w:t xml:space="preserve">"ייצוג המוסד בוועדות ערר" </w:t>
      </w:r>
      <w:r>
        <w:rPr>
          <w:rFonts w:ascii="David" w:hAnsi="David" w:cs="David"/>
          <w:sz w:val="24"/>
          <w:szCs w:val="24"/>
          <w:rtl/>
        </w:rPr>
        <w:t>נכתב כך:</w:t>
      </w:r>
    </w:p>
    <w:p w:rsidR="000B74E6" w:rsidRDefault="000B74E6" w:rsidP="000B74E6">
      <w:pPr>
        <w:pStyle w:val="P00"/>
        <w:spacing w:before="0" w:line="360" w:lineRule="auto"/>
        <w:ind w:left="360"/>
        <w:rPr>
          <w:rFonts w:ascii="David" w:hAnsi="David" w:cs="David"/>
          <w:sz w:val="24"/>
          <w:szCs w:val="24"/>
          <w:rtl/>
        </w:rPr>
      </w:pPr>
    </w:p>
    <w:p w:rsidR="000B74E6" w:rsidRDefault="000B74E6" w:rsidP="000B74E6">
      <w:pPr>
        <w:pStyle w:val="ad"/>
        <w:spacing w:after="0" w:line="360" w:lineRule="auto"/>
        <w:ind w:left="1076" w:right="851"/>
        <w:jc w:val="both"/>
        <w:rPr>
          <w:rFonts w:ascii="David" w:hAnsi="David" w:cs="David"/>
          <w:sz w:val="24"/>
          <w:szCs w:val="24"/>
          <w:rtl/>
        </w:rPr>
      </w:pPr>
      <w:r>
        <w:rPr>
          <w:rFonts w:ascii="David" w:hAnsi="David" w:cs="David"/>
          <w:b/>
          <w:bCs/>
          <w:sz w:val="24"/>
          <w:szCs w:val="24"/>
          <w:rtl/>
        </w:rPr>
        <w:t>"נציג המוסד יכול להיות נוכח בוועדות רפואיות בהתאם לשיקול דעתו הבלעדי של המוסד. נוכחות נציג המוסד אינה מחויבת בתיאום מראש עם הזוכה. נציג המוסד יכול להיות משקיף בוועדה או לחילופין לבקש להציג את עמדות המוסד בפני הוועדה הרפואית"</w:t>
      </w:r>
      <w:r>
        <w:rPr>
          <w:rFonts w:ascii="David" w:hAnsi="David" w:cs="David"/>
          <w:sz w:val="24"/>
          <w:szCs w:val="24"/>
          <w:rtl/>
        </w:rPr>
        <w:t>.</w:t>
      </w:r>
    </w:p>
    <w:p w:rsidR="000B74E6" w:rsidRDefault="000B74E6" w:rsidP="000B74E6">
      <w:pPr>
        <w:pStyle w:val="P00"/>
        <w:spacing w:before="0" w:line="360" w:lineRule="auto"/>
        <w:ind w:left="360"/>
        <w:rPr>
          <w:rFonts w:ascii="David" w:hAnsi="David" w:cs="David"/>
          <w:sz w:val="24"/>
          <w:szCs w:val="24"/>
        </w:rPr>
      </w:pPr>
    </w:p>
    <w:p w:rsidR="000B74E6" w:rsidRDefault="000B74E6" w:rsidP="000B74E6">
      <w:pPr>
        <w:pStyle w:val="P00"/>
        <w:spacing w:before="0" w:line="360" w:lineRule="auto"/>
        <w:ind w:left="360"/>
        <w:rPr>
          <w:rFonts w:ascii="David" w:hAnsi="David" w:cs="David"/>
          <w:sz w:val="24"/>
          <w:szCs w:val="24"/>
          <w:rtl/>
        </w:rPr>
      </w:pPr>
      <w:r>
        <w:rPr>
          <w:rFonts w:ascii="David" w:hAnsi="David" w:cs="David"/>
          <w:sz w:val="24"/>
          <w:szCs w:val="24"/>
          <w:rtl/>
        </w:rPr>
        <w:t>סעיף זה, המאפשר למוסד להיות נוכח בדיון ולהציג את עמדותיו בפני ועדת הערר, מחזק את הקביעה שמדובר בהליך מעין שיפוטי במעורבות של שני צדדים, המבוטח והמוסד.</w:t>
      </w:r>
    </w:p>
    <w:p w:rsidR="000B74E6" w:rsidRDefault="000B74E6" w:rsidP="000B74E6">
      <w:pPr>
        <w:pStyle w:val="P00"/>
        <w:spacing w:before="0" w:line="360" w:lineRule="auto"/>
        <w:ind w:left="360"/>
        <w:rPr>
          <w:rFonts w:ascii="David" w:hAnsi="David" w:cs="David"/>
          <w:sz w:val="24"/>
          <w:szCs w:val="24"/>
          <w:rtl/>
        </w:rPr>
      </w:pPr>
    </w:p>
    <w:p w:rsidR="000B74E6" w:rsidRDefault="000B74E6" w:rsidP="000B74E6">
      <w:pPr>
        <w:pStyle w:val="P00"/>
        <w:numPr>
          <w:ilvl w:val="0"/>
          <w:numId w:val="1"/>
        </w:numPr>
        <w:spacing w:before="0" w:line="360" w:lineRule="auto"/>
        <w:ind w:left="360" w:hanging="510"/>
        <w:rPr>
          <w:rFonts w:ascii="David" w:hAnsi="David" w:cs="David"/>
          <w:sz w:val="24"/>
          <w:szCs w:val="24"/>
        </w:rPr>
      </w:pPr>
      <w:r>
        <w:rPr>
          <w:rFonts w:ascii="David" w:hAnsi="David" w:cs="David"/>
          <w:sz w:val="24"/>
          <w:szCs w:val="24"/>
          <w:rtl/>
        </w:rPr>
        <w:t xml:space="preserve">לא למותר יהיה להביא את דבריו הנכוחים של השופט הימן בעניין </w:t>
      </w:r>
      <w:r>
        <w:rPr>
          <w:rFonts w:ascii="David" w:hAnsi="David" w:cs="David"/>
          <w:b/>
          <w:bCs/>
          <w:sz w:val="24"/>
          <w:szCs w:val="24"/>
          <w:rtl/>
        </w:rPr>
        <w:t>ד"ר עמרמי</w:t>
      </w:r>
      <w:r>
        <w:rPr>
          <w:rFonts w:ascii="David" w:hAnsi="David" w:cs="David"/>
          <w:sz w:val="24"/>
          <w:szCs w:val="24"/>
          <w:rtl/>
        </w:rPr>
        <w:t xml:space="preserve">, אשר דן באותה שאלה בדיוק, דהיינו חסינותם של חברי הוועדה הרפואית לערעורים (כאשר ברי כי חסינות ועדה לערעורים וחסינות חבריה – היינו הך הוא) כדלקמן: </w:t>
      </w:r>
    </w:p>
    <w:p w:rsidR="000B74E6" w:rsidRDefault="000B74E6" w:rsidP="000B74E6">
      <w:pPr>
        <w:pStyle w:val="P00"/>
        <w:spacing w:before="0" w:line="360" w:lineRule="auto"/>
        <w:ind w:left="360"/>
        <w:rPr>
          <w:rFonts w:ascii="David" w:hAnsi="David" w:cs="David"/>
          <w:sz w:val="24"/>
          <w:szCs w:val="24"/>
        </w:rPr>
      </w:pPr>
    </w:p>
    <w:p w:rsidR="000B74E6" w:rsidRDefault="000B74E6" w:rsidP="000B74E6">
      <w:pPr>
        <w:pStyle w:val="ad"/>
        <w:spacing w:after="0" w:line="360" w:lineRule="auto"/>
        <w:ind w:left="1076" w:right="851"/>
        <w:jc w:val="both"/>
        <w:rPr>
          <w:rFonts w:ascii="David" w:hAnsi="David" w:cs="David"/>
          <w:b/>
          <w:bCs/>
          <w:sz w:val="24"/>
          <w:szCs w:val="24"/>
          <w:rtl/>
        </w:rPr>
      </w:pPr>
      <w:r>
        <w:rPr>
          <w:rFonts w:ascii="David" w:hAnsi="David" w:cs="David"/>
          <w:b/>
          <w:bCs/>
          <w:sz w:val="24"/>
          <w:szCs w:val="24"/>
          <w:rtl/>
        </w:rPr>
        <w:t xml:space="preserve">"אם בגוף הנדון מתקיימים מאפייניה של רשות מעין שיפוטית ואם בהליך מתקיימים מאפייניו של הליך מעין שיפוטי, תהא הנטייה להחיל על הגוף הזה את הגנתו של סעיף 8. שלא ברשימה סגורה עולים על הדעת מספר מאפיינים מרכזיים: קיומו של סכסוך בין צדדים, המסור להכרעתו של </w:t>
      </w:r>
      <w:r>
        <w:rPr>
          <w:rFonts w:ascii="David" w:hAnsi="David" w:cs="David"/>
          <w:b/>
          <w:bCs/>
          <w:sz w:val="24"/>
          <w:szCs w:val="24"/>
          <w:rtl/>
        </w:rPr>
        <w:lastRenderedPageBreak/>
        <w:t xml:space="preserve">הגוף הנדון; קביעות, המתקבלות לאחר שמיעתם של טיעונים ושל עיון בראיות; הכרעה, היורדת </w:t>
      </w:r>
      <w:proofErr w:type="spellStart"/>
      <w:r>
        <w:rPr>
          <w:rFonts w:ascii="David" w:hAnsi="David" w:cs="David"/>
          <w:b/>
          <w:bCs/>
          <w:sz w:val="24"/>
          <w:szCs w:val="24"/>
          <w:rtl/>
        </w:rPr>
        <w:t>לענינו</w:t>
      </w:r>
      <w:proofErr w:type="spellEnd"/>
      <w:r>
        <w:rPr>
          <w:rFonts w:ascii="David" w:hAnsi="David" w:cs="David"/>
          <w:b/>
          <w:bCs/>
          <w:sz w:val="24"/>
          <w:szCs w:val="24"/>
          <w:rtl/>
        </w:rPr>
        <w:t xml:space="preserve"> הפרטני של אדם או של גוף, להבדיל מקביעתה של מדיניות כללית; הכרעה, הקובעת זכויות או חובות של הנדונים לפניה; הליך, הכפוף לעקרונות-יסוד שיפוטיים כהקפדה בהיעדרו של ניגוד-</w:t>
      </w:r>
      <w:proofErr w:type="spellStart"/>
      <w:r>
        <w:rPr>
          <w:rFonts w:ascii="David" w:hAnsi="David" w:cs="David"/>
          <w:b/>
          <w:bCs/>
          <w:sz w:val="24"/>
          <w:szCs w:val="24"/>
          <w:rtl/>
        </w:rPr>
        <w:t>ענינים</w:t>
      </w:r>
      <w:proofErr w:type="spellEnd"/>
      <w:r>
        <w:rPr>
          <w:rFonts w:ascii="David" w:hAnsi="David" w:cs="David"/>
          <w:b/>
          <w:bCs/>
          <w:sz w:val="24"/>
          <w:szCs w:val="24"/>
          <w:rtl/>
        </w:rPr>
        <w:t xml:space="preserve"> ובכללי הצדק הטבעי; הזכות להיות מיוצג בידי אחֵר לפניו של הגוף הנדון ולעתים גם קיומה של יכולת לערער על קביעותיו לערכאה גבוהה יותר. הקמתו של הגוף הנדון בחיקוק, וקביעתן של סמכויותיו, בתחיקה עשויות גם הן להוסיף משקל לכף של סיווגו כרשות מעין שיפוטית. </w:t>
      </w:r>
    </w:p>
    <w:p w:rsidR="000B74E6" w:rsidRDefault="000B74E6" w:rsidP="000B74E6">
      <w:pPr>
        <w:spacing w:line="360" w:lineRule="auto"/>
        <w:jc w:val="both"/>
        <w:rPr>
          <w:rFonts w:ascii="David" w:hAnsi="David"/>
          <w:b/>
          <w:bCs/>
          <w:rtl/>
        </w:rPr>
      </w:pPr>
    </w:p>
    <w:p w:rsidR="000B74E6" w:rsidRDefault="000B74E6" w:rsidP="000B74E6">
      <w:pPr>
        <w:pStyle w:val="ad"/>
        <w:spacing w:after="0" w:line="360" w:lineRule="auto"/>
        <w:ind w:left="1076" w:right="851"/>
        <w:jc w:val="both"/>
        <w:rPr>
          <w:rFonts w:ascii="David" w:hAnsi="David" w:cs="David"/>
          <w:b/>
          <w:bCs/>
          <w:sz w:val="24"/>
          <w:szCs w:val="24"/>
          <w:rtl/>
        </w:rPr>
      </w:pPr>
      <w:r>
        <w:rPr>
          <w:rFonts w:ascii="David" w:hAnsi="David" w:cs="David"/>
          <w:b/>
          <w:bCs/>
          <w:sz w:val="24"/>
          <w:szCs w:val="24"/>
          <w:rtl/>
        </w:rPr>
        <w:t>9.</w:t>
      </w:r>
      <w:r>
        <w:rPr>
          <w:rFonts w:ascii="David" w:hAnsi="David" w:cs="David"/>
          <w:b/>
          <w:bCs/>
          <w:sz w:val="24"/>
          <w:szCs w:val="24"/>
          <w:rtl/>
        </w:rPr>
        <w:tab/>
        <w:t xml:space="preserve">לדעתי, מאפיינים אלה מתקיימים בגורם שהוא נושא-תובענה זו – הוועדה הרפואית לערעורים. ועדה זו היא תוצר של החוק. היא גוף סטטוטורי בעל עצמאות ו"חיים" משל עצמו. אין היא כפופה למרותו של המוסד לביטוח לאומי (עב"ל 389/09 </w:t>
      </w:r>
      <w:proofErr w:type="spellStart"/>
      <w:r>
        <w:rPr>
          <w:rFonts w:ascii="David" w:hAnsi="David" w:cs="David"/>
          <w:b/>
          <w:bCs/>
          <w:sz w:val="24"/>
          <w:szCs w:val="24"/>
          <w:rtl/>
        </w:rPr>
        <w:t>לגזיאל</w:t>
      </w:r>
      <w:proofErr w:type="spellEnd"/>
      <w:r>
        <w:rPr>
          <w:rFonts w:ascii="David" w:hAnsi="David" w:cs="David"/>
          <w:b/>
          <w:bCs/>
          <w:sz w:val="24"/>
          <w:szCs w:val="24"/>
          <w:rtl/>
        </w:rPr>
        <w:t xml:space="preserve"> הנ"ל, בפסקה 11 לפסק-דינו של כבוד הנשיא סטפן אדלר). חבריה אינם עובדיו של המוסד (</w:t>
      </w:r>
      <w:proofErr w:type="spellStart"/>
      <w:r>
        <w:rPr>
          <w:rFonts w:ascii="David" w:hAnsi="David" w:cs="David"/>
          <w:b/>
          <w:bCs/>
          <w:sz w:val="24"/>
          <w:szCs w:val="24"/>
          <w:rtl/>
        </w:rPr>
        <w:t>אוריאנה</w:t>
      </w:r>
      <w:proofErr w:type="spellEnd"/>
      <w:r>
        <w:rPr>
          <w:rFonts w:ascii="David" w:hAnsi="David" w:cs="David"/>
          <w:b/>
          <w:bCs/>
          <w:sz w:val="24"/>
          <w:szCs w:val="24"/>
          <w:rtl/>
        </w:rPr>
        <w:t xml:space="preserve"> </w:t>
      </w:r>
      <w:proofErr w:type="spellStart"/>
      <w:r>
        <w:rPr>
          <w:rFonts w:ascii="David" w:hAnsi="David" w:cs="David"/>
          <w:b/>
          <w:bCs/>
          <w:sz w:val="24"/>
          <w:szCs w:val="24"/>
          <w:rtl/>
        </w:rPr>
        <w:t>אלמסי</w:t>
      </w:r>
      <w:proofErr w:type="spellEnd"/>
      <w:r>
        <w:rPr>
          <w:rFonts w:ascii="David" w:hAnsi="David" w:cs="David"/>
          <w:b/>
          <w:bCs/>
          <w:sz w:val="24"/>
          <w:szCs w:val="24"/>
          <w:rtl/>
        </w:rPr>
        <w:t xml:space="preserve"> ועדות ערר על</w:t>
      </w:r>
      <w:r>
        <w:rPr>
          <w:rFonts w:ascii="David" w:hAnsi="David" w:cs="David"/>
          <w:b/>
          <w:bCs/>
          <w:sz w:val="24"/>
          <w:szCs w:val="24"/>
        </w:rPr>
        <w:t xml:space="preserve"> </w:t>
      </w:r>
      <w:r>
        <w:rPr>
          <w:rFonts w:ascii="David" w:hAnsi="David" w:cs="David"/>
          <w:b/>
          <w:bCs/>
          <w:sz w:val="24"/>
          <w:szCs w:val="24"/>
          <w:rtl/>
        </w:rPr>
        <w:t>ועדות</w:t>
      </w:r>
      <w:r>
        <w:rPr>
          <w:rFonts w:ascii="David" w:hAnsi="David" w:cs="David"/>
          <w:b/>
          <w:bCs/>
          <w:sz w:val="24"/>
          <w:szCs w:val="24"/>
        </w:rPr>
        <w:t xml:space="preserve"> </w:t>
      </w:r>
      <w:r>
        <w:rPr>
          <w:rFonts w:ascii="David" w:hAnsi="David" w:cs="David"/>
          <w:b/>
          <w:bCs/>
          <w:sz w:val="24"/>
          <w:szCs w:val="24"/>
          <w:rtl/>
        </w:rPr>
        <w:t>רפואיות במשרדי</w:t>
      </w:r>
      <w:r>
        <w:rPr>
          <w:rFonts w:ascii="David" w:hAnsi="David" w:cs="David"/>
          <w:b/>
          <w:bCs/>
          <w:sz w:val="24"/>
          <w:szCs w:val="24"/>
        </w:rPr>
        <w:t xml:space="preserve"> </w:t>
      </w:r>
      <w:r>
        <w:rPr>
          <w:rFonts w:ascii="David" w:hAnsi="David" w:cs="David"/>
          <w:b/>
          <w:bCs/>
          <w:sz w:val="24"/>
          <w:szCs w:val="24"/>
          <w:rtl/>
        </w:rPr>
        <w:t>הממשלה</w:t>
      </w:r>
      <w:r>
        <w:rPr>
          <w:rFonts w:ascii="David" w:hAnsi="David" w:cs="David"/>
          <w:b/>
          <w:bCs/>
          <w:sz w:val="24"/>
          <w:szCs w:val="24"/>
        </w:rPr>
        <w:t xml:space="preserve"> </w:t>
      </w:r>
      <w:r>
        <w:rPr>
          <w:rFonts w:ascii="David" w:hAnsi="David" w:cs="David"/>
          <w:b/>
          <w:bCs/>
          <w:sz w:val="24"/>
          <w:szCs w:val="24"/>
          <w:rtl/>
        </w:rPr>
        <w:t>ובמוסד</w:t>
      </w:r>
      <w:r>
        <w:rPr>
          <w:rFonts w:ascii="David" w:hAnsi="David" w:cs="David"/>
          <w:b/>
          <w:bCs/>
          <w:sz w:val="24"/>
          <w:szCs w:val="24"/>
        </w:rPr>
        <w:t xml:space="preserve"> </w:t>
      </w:r>
      <w:r>
        <w:rPr>
          <w:rFonts w:ascii="David" w:hAnsi="David" w:cs="David"/>
          <w:b/>
          <w:bCs/>
          <w:sz w:val="24"/>
          <w:szCs w:val="24"/>
          <w:rtl/>
        </w:rPr>
        <w:t>לביטוח</w:t>
      </w:r>
      <w:r>
        <w:rPr>
          <w:rFonts w:ascii="David" w:hAnsi="David" w:cs="David"/>
          <w:b/>
          <w:bCs/>
          <w:sz w:val="24"/>
          <w:szCs w:val="24"/>
        </w:rPr>
        <w:t xml:space="preserve"> </w:t>
      </w:r>
      <w:r>
        <w:rPr>
          <w:rFonts w:ascii="David" w:hAnsi="David" w:cs="David"/>
          <w:b/>
          <w:bCs/>
          <w:sz w:val="24"/>
          <w:szCs w:val="24"/>
          <w:rtl/>
        </w:rPr>
        <w:t xml:space="preserve">לאומי 15 (הכנסת, מרכז המחקר והמידע, 2015)). הוועדה מבררת סכסוך, שנתגלע בין המוסד לביטוח לאומי לבין המבוטח (ולא אחת, אגב, פוסקת שלא כעמדתו של המוסד). עיקר-הכרעתה הוא בקביעת-גורלו – זכויות וחובות – של המבוטח המסוים אשר לפניה. בהיבטים רפואיים-מקצועיים, הכרעתה היא סופית. היא מקיימת הליך, הכולל זכות לטעון ולהציג חומר רלוונטי, לרבות באמצעותו של מייצג חיצוני... הוועדה נדרשת לנמק את החלטותיה (חוזר מס' 8/13 מאת המוסד לביטוח לאומי – </w:t>
      </w:r>
      <w:proofErr w:type="spellStart"/>
      <w:r>
        <w:rPr>
          <w:rFonts w:ascii="David" w:hAnsi="David" w:cs="David"/>
          <w:b/>
          <w:bCs/>
          <w:sz w:val="24"/>
          <w:szCs w:val="24"/>
          <w:rtl/>
        </w:rPr>
        <w:t>מינהל</w:t>
      </w:r>
      <w:proofErr w:type="spellEnd"/>
      <w:r>
        <w:rPr>
          <w:rFonts w:ascii="David" w:hAnsi="David" w:cs="David"/>
          <w:b/>
          <w:bCs/>
          <w:sz w:val="24"/>
          <w:szCs w:val="24"/>
          <w:rtl/>
        </w:rPr>
        <w:t xml:space="preserve"> גמלאות – אגף ועדות רפואיות, 18.3.2013). </w:t>
      </w:r>
      <w:proofErr w:type="spellStart"/>
      <w:r>
        <w:rPr>
          <w:rFonts w:ascii="David" w:hAnsi="David" w:cs="David"/>
          <w:b/>
          <w:bCs/>
          <w:sz w:val="24"/>
          <w:szCs w:val="24"/>
          <w:rtl/>
        </w:rPr>
        <w:t>בענינים</w:t>
      </w:r>
      <w:proofErr w:type="spellEnd"/>
      <w:r>
        <w:rPr>
          <w:rFonts w:ascii="David" w:hAnsi="David" w:cs="David"/>
          <w:b/>
          <w:bCs/>
          <w:sz w:val="24"/>
          <w:szCs w:val="24"/>
          <w:rtl/>
        </w:rPr>
        <w:t xml:space="preserve"> משפטיים מותר לערער על החלטותיה לפניו של בית-הדין האזורי לעבודה. זאת ועוד, חבריה של ועדת-</w:t>
      </w:r>
      <w:proofErr w:type="spellStart"/>
      <w:r>
        <w:rPr>
          <w:rFonts w:ascii="David" w:hAnsi="David" w:cs="David"/>
          <w:b/>
          <w:bCs/>
          <w:sz w:val="24"/>
          <w:szCs w:val="24"/>
          <w:rtl/>
        </w:rPr>
        <w:t>העררים</w:t>
      </w:r>
      <w:proofErr w:type="spellEnd"/>
      <w:r>
        <w:rPr>
          <w:rFonts w:ascii="David" w:hAnsi="David" w:cs="David"/>
          <w:b/>
          <w:bCs/>
          <w:sz w:val="24"/>
          <w:szCs w:val="24"/>
          <w:rtl/>
        </w:rPr>
        <w:t xml:space="preserve"> נדרשים לחדש, מעת לעת, את הסמכתם. הם כפופים לאפשרות כי אם לא יפעלו באורח מקצועי – לא יחודש מינויָם.</w:t>
      </w:r>
    </w:p>
    <w:p w:rsidR="000B74E6" w:rsidRDefault="000B74E6" w:rsidP="000B74E6">
      <w:pPr>
        <w:pStyle w:val="ad"/>
        <w:spacing w:after="0" w:line="360" w:lineRule="auto"/>
        <w:ind w:left="1076" w:right="851"/>
        <w:jc w:val="both"/>
        <w:rPr>
          <w:rFonts w:ascii="David" w:hAnsi="David" w:cs="David"/>
          <w:b/>
          <w:bCs/>
          <w:sz w:val="24"/>
          <w:szCs w:val="24"/>
          <w:rtl/>
        </w:rPr>
      </w:pPr>
      <w:r>
        <w:rPr>
          <w:rFonts w:ascii="David" w:hAnsi="David" w:cs="David"/>
          <w:b/>
          <w:bCs/>
          <w:sz w:val="24"/>
          <w:szCs w:val="24"/>
          <w:rtl/>
        </w:rPr>
        <w:t>....</w:t>
      </w:r>
    </w:p>
    <w:p w:rsidR="000B74E6" w:rsidRDefault="000B74E6" w:rsidP="000B74E6">
      <w:pPr>
        <w:pStyle w:val="ad"/>
        <w:spacing w:after="0" w:line="360" w:lineRule="auto"/>
        <w:ind w:left="1076" w:right="851"/>
        <w:jc w:val="both"/>
        <w:rPr>
          <w:rFonts w:ascii="David" w:hAnsi="David" w:cs="David"/>
          <w:b/>
          <w:bCs/>
          <w:sz w:val="24"/>
          <w:szCs w:val="24"/>
          <w:rtl/>
        </w:rPr>
      </w:pPr>
      <w:r>
        <w:rPr>
          <w:rFonts w:ascii="David" w:hAnsi="David" w:cs="David"/>
          <w:b/>
          <w:bCs/>
          <w:sz w:val="24"/>
          <w:szCs w:val="24"/>
          <w:rtl/>
        </w:rPr>
        <w:t>בוועדה רפואית לערעורים מתקיימים, להשקפתי, עיקרי-</w:t>
      </w:r>
      <w:proofErr w:type="spellStart"/>
      <w:r>
        <w:rPr>
          <w:rFonts w:ascii="David" w:hAnsi="David" w:cs="David"/>
          <w:b/>
          <w:bCs/>
          <w:sz w:val="24"/>
          <w:szCs w:val="24"/>
          <w:rtl/>
        </w:rPr>
        <w:t>הרציונלים</w:t>
      </w:r>
      <w:proofErr w:type="spellEnd"/>
      <w:r>
        <w:rPr>
          <w:rFonts w:ascii="David" w:hAnsi="David" w:cs="David"/>
          <w:b/>
          <w:bCs/>
          <w:sz w:val="24"/>
          <w:szCs w:val="24"/>
          <w:rtl/>
        </w:rPr>
        <w:t xml:space="preserve"> אשר מצדיקים מתן-חסינות לחבריה. אלה נדרשים לפעול באורח בלתי תלוי, משוחררים מלחצים אישיים וכפופים אך למצב-הדברים הרפואי והמשפטי הנכון. חשיפתם של חברי-הוועדה לאחריות אישית </w:t>
      </w:r>
      <w:proofErr w:type="spellStart"/>
      <w:r>
        <w:rPr>
          <w:rFonts w:ascii="David" w:hAnsi="David" w:cs="David"/>
          <w:b/>
          <w:bCs/>
          <w:sz w:val="24"/>
          <w:szCs w:val="24"/>
          <w:rtl/>
        </w:rPr>
        <w:t>בנזיקין</w:t>
      </w:r>
      <w:proofErr w:type="spellEnd"/>
      <w:r>
        <w:rPr>
          <w:rFonts w:ascii="David" w:hAnsi="David" w:cs="David"/>
          <w:b/>
          <w:bCs/>
          <w:sz w:val="24"/>
          <w:szCs w:val="24"/>
          <w:rtl/>
        </w:rPr>
        <w:t xml:space="preserve"> עלולה לרפות את ידיהם; לערב, חלילה, שיקולים שאינם ממין </w:t>
      </w:r>
      <w:proofErr w:type="spellStart"/>
      <w:r>
        <w:rPr>
          <w:rFonts w:ascii="David" w:hAnsi="David" w:cs="David"/>
          <w:b/>
          <w:bCs/>
          <w:sz w:val="24"/>
          <w:szCs w:val="24"/>
          <w:rtl/>
        </w:rPr>
        <w:t>הענין</w:t>
      </w:r>
      <w:proofErr w:type="spellEnd"/>
      <w:r>
        <w:rPr>
          <w:rFonts w:ascii="David" w:hAnsi="David" w:cs="David"/>
          <w:b/>
          <w:bCs/>
          <w:sz w:val="24"/>
          <w:szCs w:val="24"/>
          <w:rtl/>
        </w:rPr>
        <w:t xml:space="preserve"> </w:t>
      </w:r>
      <w:r>
        <w:rPr>
          <w:rFonts w:ascii="David" w:hAnsi="David" w:cs="David"/>
          <w:b/>
          <w:bCs/>
          <w:sz w:val="24"/>
          <w:szCs w:val="24"/>
          <w:rtl/>
        </w:rPr>
        <w:lastRenderedPageBreak/>
        <w:t>בהכרעותיהם ולהחליש, עד כדי איון, את המוסד הזה ואת נכונותם של רופאים לקחת בו חלק".</w:t>
      </w:r>
    </w:p>
    <w:p w:rsidR="000B74E6" w:rsidRDefault="000B74E6" w:rsidP="000B74E6">
      <w:pPr>
        <w:pStyle w:val="P00"/>
        <w:spacing w:before="0" w:line="360" w:lineRule="auto"/>
        <w:ind w:left="360"/>
        <w:rPr>
          <w:rFonts w:ascii="David" w:hAnsi="David" w:cs="David"/>
          <w:sz w:val="24"/>
          <w:szCs w:val="24"/>
          <w:rtl/>
        </w:rPr>
      </w:pPr>
    </w:p>
    <w:p w:rsidR="000B74E6" w:rsidRDefault="000B74E6" w:rsidP="000B74E6">
      <w:pPr>
        <w:pStyle w:val="P00"/>
        <w:spacing w:before="0" w:line="360" w:lineRule="auto"/>
        <w:ind w:left="360"/>
        <w:rPr>
          <w:rFonts w:ascii="David" w:hAnsi="David" w:cs="David"/>
          <w:sz w:val="24"/>
          <w:szCs w:val="24"/>
        </w:rPr>
      </w:pPr>
      <w:r>
        <w:rPr>
          <w:rFonts w:ascii="David" w:hAnsi="David" w:cs="David"/>
          <w:sz w:val="24"/>
          <w:szCs w:val="24"/>
          <w:rtl/>
        </w:rPr>
        <w:t>אני מסכים לדבריו אלה של כב' השופט הימן, מצטרף אליהם, ומוסיף כי חשש אפשרי של חברי הוועדה מהגשת תביעה אזרחית פוטנציאלית נגדם עלול לפגוע באופיין האובייקטיבי של ועדות הערר, והחסינות השיפוטית נועדה להבטיח כי חברי הוועדות הנ"ל יפעלו באופן אובייקטיבי ככל הניתן, תוך שמירה על אי תלותם, וידונו ויכריעו בעניין הנדון בפניהם לפי מיטב הבנתם הרפואית – מקצועית וללא חשש מלחצים בדמות חשיפה אפשרית לתביעות נזיקיות עתידיות שיוגשו נגדם על ידי המתדיינים בפניהם, בגין פעולות והחלטות שהתקבלו על ידם במסגרת מילוי תפקידם השיפוטי בוועדה.</w:t>
      </w:r>
    </w:p>
    <w:p w:rsidR="000B74E6" w:rsidRDefault="000B74E6" w:rsidP="000B74E6">
      <w:pPr>
        <w:pStyle w:val="P00"/>
        <w:spacing w:before="0" w:line="360" w:lineRule="auto"/>
        <w:ind w:left="360"/>
        <w:rPr>
          <w:rFonts w:ascii="David" w:hAnsi="David" w:cs="David"/>
          <w:sz w:val="24"/>
          <w:szCs w:val="24"/>
        </w:rPr>
      </w:pPr>
    </w:p>
    <w:p w:rsidR="000B74E6" w:rsidRDefault="000B74E6" w:rsidP="000B74E6">
      <w:pPr>
        <w:pStyle w:val="P00"/>
        <w:numPr>
          <w:ilvl w:val="0"/>
          <w:numId w:val="1"/>
        </w:numPr>
        <w:spacing w:before="0" w:line="360" w:lineRule="auto"/>
        <w:ind w:left="360" w:hanging="510"/>
        <w:rPr>
          <w:rFonts w:ascii="David" w:hAnsi="David" w:cs="David"/>
          <w:sz w:val="24"/>
          <w:szCs w:val="24"/>
        </w:rPr>
      </w:pPr>
      <w:r>
        <w:rPr>
          <w:rFonts w:ascii="David" w:hAnsi="David" w:cs="David"/>
          <w:sz w:val="24"/>
          <w:szCs w:val="24"/>
          <w:rtl/>
        </w:rPr>
        <w:t xml:space="preserve">באשר להחלטתה הספציפית של ועדה לערעורים, שלא להתיר נוכחות של מלווה/בא כוח בעת בדיקתה הרפואית של המבקשת בתחום הנפשי על ידי הוועדה, החלטה זו נמצאת במסגרת עשייתה השיפוטית של הוועדה. סמכותה של הוועדה להורות במקרים המתאימים על הוצאת מלווה בשעת בדיקה מעוגנת בתקה 9 בתקנות. בפסיקה נקבע כי </w:t>
      </w:r>
      <w:r>
        <w:rPr>
          <w:rFonts w:ascii="David" w:hAnsi="David" w:cs="David"/>
          <w:sz w:val="24"/>
          <w:szCs w:val="24"/>
          <w:rtl/>
        </w:rPr>
        <w:tab/>
        <w:t>תקנה זו נועדה להבטיח את צנעת הפרט ואת כבוד הנבדק על ידי הוועדה הרפואית, אך אין בה כדי למנוע את נוכחותו של מלווה בעת הבדיקה, אם הנבדק חפץ בכך. זאת, בסייג אחד, והוא כי אם מצאה הוועדה כי קיימים טעמים מוצדקים לכך שהמלווה לא יהיה נוכח בבדיקה, רשאית היא להורות על הוצאתו. נוכח מעמדה המעין משפטי של הוועדה לערעורים, כפיפותה לכללי הצדק הטבעי וההגינות, וחובתה לשמור על זכויות היסוד של המבוטחים, חלה על הוועדה חובה לציין בפרוטוקול הדיון את החלטתם בדבר הוצאת מלווה בשעת בדיקה רפואית ולנמקה.</w:t>
      </w:r>
    </w:p>
    <w:p w:rsidR="000B74E6" w:rsidRDefault="000B74E6" w:rsidP="000B74E6">
      <w:pPr>
        <w:pStyle w:val="P00"/>
        <w:spacing w:before="0" w:line="360" w:lineRule="auto"/>
        <w:ind w:left="360"/>
        <w:rPr>
          <w:rFonts w:ascii="David" w:hAnsi="David" w:cs="David"/>
          <w:sz w:val="24"/>
          <w:szCs w:val="24"/>
        </w:rPr>
      </w:pPr>
      <w:r>
        <w:rPr>
          <w:rFonts w:ascii="David" w:hAnsi="David" w:cs="David"/>
          <w:sz w:val="24"/>
          <w:szCs w:val="24"/>
          <w:rtl/>
        </w:rPr>
        <w:t xml:space="preserve">מדובר, אפוא, בהחלטה המשלבת בתוכה שיקולים רפואיים ומקצועיים, בצד שיקולים משפטיים של שמירה על זכויותיו של המבוטח, והחלטה מעין זו חוסה תחת כנפיה של החסינות השיפוטית, אם מבוקש לתקוף את חברי הוועדה בגין קבלתה, לרבות בשל אי רישומה והנמקתה בפרוטוקול הדיון. </w:t>
      </w:r>
      <w:r>
        <w:rPr>
          <w:rFonts w:ascii="David" w:hAnsi="David" w:cs="David"/>
          <w:sz w:val="24"/>
          <w:szCs w:val="24"/>
          <w:rtl/>
        </w:rPr>
        <w:tab/>
      </w:r>
    </w:p>
    <w:p w:rsidR="000B74E6" w:rsidRDefault="000B74E6" w:rsidP="000B74E6">
      <w:pPr>
        <w:pStyle w:val="P00"/>
        <w:spacing w:before="0" w:line="360" w:lineRule="auto"/>
        <w:ind w:left="360"/>
        <w:rPr>
          <w:rFonts w:ascii="David" w:hAnsi="David" w:cs="David"/>
          <w:sz w:val="24"/>
          <w:szCs w:val="24"/>
          <w:rtl/>
        </w:rPr>
      </w:pPr>
      <w:r>
        <w:rPr>
          <w:rFonts w:ascii="David" w:hAnsi="David" w:cs="David"/>
          <w:sz w:val="24"/>
          <w:szCs w:val="24"/>
          <w:rtl/>
        </w:rPr>
        <w:t>כבר ראינו כי החלטה כאמור לעיל ניתנת לתקיפה במסגרת ערעור לבית הדין האזורי לעבודה, אשר לא אחת החליט כי הפגם שבהחלטה מעין זו מצדיק את ביטול החלטת הוועדה לערעורים והחזרת הדיון אליה.</w:t>
      </w:r>
    </w:p>
    <w:p w:rsidR="000B74E6" w:rsidRDefault="000B74E6" w:rsidP="000B74E6">
      <w:pPr>
        <w:pStyle w:val="P00"/>
        <w:spacing w:before="0" w:line="360" w:lineRule="auto"/>
        <w:ind w:left="360"/>
        <w:rPr>
          <w:rFonts w:ascii="David" w:hAnsi="David" w:cs="David"/>
          <w:sz w:val="24"/>
          <w:szCs w:val="24"/>
          <w:rtl/>
        </w:rPr>
      </w:pPr>
      <w:r>
        <w:rPr>
          <w:rFonts w:ascii="David" w:hAnsi="David" w:cs="David"/>
          <w:b/>
          <w:bCs/>
          <w:sz w:val="24"/>
          <w:szCs w:val="24"/>
          <w:rtl/>
        </w:rPr>
        <w:t xml:space="preserve">עם זאת, הגשת תביעה אזרחית נגד הוועדה או חבריה, </w:t>
      </w:r>
      <w:r>
        <w:rPr>
          <w:rFonts w:ascii="David" w:hAnsi="David" w:cs="David"/>
          <w:b/>
          <w:bCs/>
          <w:sz w:val="24"/>
          <w:szCs w:val="24"/>
          <w:u w:val="single"/>
          <w:rtl/>
        </w:rPr>
        <w:t>ונגד כל אחד אחר</w:t>
      </w:r>
      <w:r>
        <w:rPr>
          <w:rFonts w:ascii="David" w:hAnsi="David" w:cs="David"/>
          <w:b/>
          <w:bCs/>
          <w:sz w:val="24"/>
          <w:szCs w:val="24"/>
          <w:rtl/>
        </w:rPr>
        <w:t xml:space="preserve"> (עניין עלי אדם), בגין עוולה נטענת שנעשתה במתן החלטה כאמור לעיל, אינה אפשרית נוכח החסינות השיפוטית הקיימת כאמור לעיל</w:t>
      </w:r>
      <w:r>
        <w:rPr>
          <w:rFonts w:ascii="David" w:hAnsi="David" w:cs="David"/>
          <w:sz w:val="24"/>
          <w:szCs w:val="24"/>
          <w:rtl/>
        </w:rPr>
        <w:t>.</w:t>
      </w:r>
    </w:p>
    <w:p w:rsidR="007D335A" w:rsidRDefault="007D335A">
      <w:pPr>
        <w:bidi w:val="0"/>
        <w:rPr>
          <w:rFonts w:ascii="David" w:hAnsi="David"/>
          <w:lang w:eastAsia="he-IL"/>
        </w:rPr>
      </w:pPr>
      <w:r>
        <w:rPr>
          <w:rFonts w:ascii="David" w:hAnsi="David"/>
          <w:lang w:eastAsia="he-IL"/>
        </w:rPr>
        <w:br w:type="page"/>
      </w:r>
    </w:p>
    <w:p w:rsidR="000B74E6" w:rsidRDefault="000B74E6" w:rsidP="000B74E6">
      <w:pPr>
        <w:spacing w:line="360" w:lineRule="auto"/>
        <w:ind w:hanging="170"/>
        <w:jc w:val="both"/>
        <w:rPr>
          <w:rFonts w:ascii="David" w:hAnsi="David"/>
          <w:b/>
          <w:bCs/>
          <w:sz w:val="28"/>
          <w:u w:val="single"/>
          <w:rtl/>
        </w:rPr>
      </w:pPr>
      <w:r>
        <w:rPr>
          <w:rFonts w:ascii="David" w:hAnsi="David"/>
          <w:b/>
          <w:bCs/>
          <w:sz w:val="28"/>
          <w:u w:val="single"/>
          <w:rtl/>
        </w:rPr>
        <w:lastRenderedPageBreak/>
        <w:t>העדר יריבות</w:t>
      </w:r>
    </w:p>
    <w:p w:rsidR="000B74E6" w:rsidRDefault="000B74E6" w:rsidP="000B74E6">
      <w:pPr>
        <w:pStyle w:val="P00"/>
        <w:spacing w:before="0" w:line="360" w:lineRule="auto"/>
        <w:ind w:left="360"/>
        <w:rPr>
          <w:rFonts w:ascii="David" w:hAnsi="David" w:cs="David"/>
          <w:sz w:val="24"/>
          <w:szCs w:val="24"/>
          <w:rtl/>
        </w:rPr>
      </w:pPr>
    </w:p>
    <w:p w:rsidR="000B74E6" w:rsidRDefault="000B74E6" w:rsidP="000B74E6">
      <w:pPr>
        <w:pStyle w:val="P00"/>
        <w:numPr>
          <w:ilvl w:val="0"/>
          <w:numId w:val="1"/>
        </w:numPr>
        <w:spacing w:before="0" w:line="360" w:lineRule="auto"/>
        <w:ind w:left="360" w:hanging="510"/>
        <w:rPr>
          <w:rFonts w:ascii="David" w:hAnsi="David" w:cs="David"/>
          <w:sz w:val="24"/>
          <w:szCs w:val="24"/>
        </w:rPr>
      </w:pPr>
      <w:r>
        <w:rPr>
          <w:rFonts w:ascii="David" w:hAnsi="David" w:cs="David"/>
          <w:sz w:val="24"/>
          <w:szCs w:val="24"/>
          <w:rtl/>
        </w:rPr>
        <w:t xml:space="preserve">קיומה של החסינות השיפוטית לגבי החלטות ועדה לערעורים הניתנות במסגרת תפקידה השיפוטי, והעדר אחריות נזיקית בגין החלטות אלה, מביאה גם לכך </w:t>
      </w:r>
      <w:r>
        <w:rPr>
          <w:rFonts w:ascii="David" w:hAnsi="David" w:cs="David"/>
          <w:b/>
          <w:bCs/>
          <w:sz w:val="24"/>
          <w:szCs w:val="24"/>
          <w:rtl/>
        </w:rPr>
        <w:t>שאין קיימת אחריות שילוחית או ישירה של גוף אחר כלשהו למעשים אלו</w:t>
      </w:r>
      <w:r>
        <w:rPr>
          <w:rFonts w:ascii="David" w:hAnsi="David" w:cs="David"/>
          <w:sz w:val="24"/>
          <w:szCs w:val="24"/>
          <w:rtl/>
        </w:rPr>
        <w:t xml:space="preserve"> (עניין </w:t>
      </w:r>
      <w:r>
        <w:rPr>
          <w:rFonts w:ascii="David" w:hAnsi="David" w:cs="David"/>
          <w:b/>
          <w:bCs/>
          <w:sz w:val="24"/>
          <w:szCs w:val="24"/>
          <w:rtl/>
        </w:rPr>
        <w:t>עלי אדם</w:t>
      </w:r>
      <w:r>
        <w:rPr>
          <w:rFonts w:ascii="David" w:hAnsi="David" w:cs="David"/>
          <w:sz w:val="24"/>
          <w:szCs w:val="24"/>
          <w:rtl/>
        </w:rPr>
        <w:t xml:space="preserve">), </w:t>
      </w:r>
      <w:r>
        <w:rPr>
          <w:rFonts w:ascii="David" w:hAnsi="David" w:cs="David"/>
          <w:b/>
          <w:bCs/>
          <w:sz w:val="24"/>
          <w:szCs w:val="24"/>
          <w:rtl/>
        </w:rPr>
        <w:t>ובכלל זאת גם למוסד לביטוח הלאומי</w:t>
      </w:r>
      <w:r>
        <w:rPr>
          <w:rFonts w:ascii="David" w:hAnsi="David" w:cs="David"/>
          <w:sz w:val="24"/>
          <w:szCs w:val="24"/>
          <w:rtl/>
        </w:rPr>
        <w:t>.</w:t>
      </w:r>
    </w:p>
    <w:p w:rsidR="000B74E6" w:rsidRDefault="000B74E6" w:rsidP="000B74E6">
      <w:pPr>
        <w:pStyle w:val="P00"/>
        <w:spacing w:before="0" w:line="360" w:lineRule="auto"/>
        <w:ind w:left="360"/>
        <w:rPr>
          <w:rFonts w:ascii="David" w:hAnsi="David" w:cs="David"/>
          <w:sz w:val="24"/>
          <w:szCs w:val="24"/>
        </w:rPr>
      </w:pPr>
    </w:p>
    <w:p w:rsidR="000B74E6" w:rsidRDefault="000B74E6" w:rsidP="000B74E6">
      <w:pPr>
        <w:pStyle w:val="P00"/>
        <w:numPr>
          <w:ilvl w:val="0"/>
          <w:numId w:val="1"/>
        </w:numPr>
        <w:spacing w:before="0" w:line="360" w:lineRule="auto"/>
        <w:ind w:left="360" w:hanging="510"/>
        <w:rPr>
          <w:rFonts w:ascii="David" w:hAnsi="David" w:cs="David"/>
          <w:sz w:val="24"/>
          <w:szCs w:val="24"/>
        </w:rPr>
      </w:pPr>
      <w:r>
        <w:rPr>
          <w:rFonts w:ascii="David" w:hAnsi="David" w:cs="David"/>
          <w:sz w:val="24"/>
          <w:szCs w:val="24"/>
          <w:rtl/>
        </w:rPr>
        <w:t>מכוח האמור לעיל, אין, אפוא, יריבות בין המבקשת וחברי הקבוצה לבין המוסד, בכל הקשור להחלטות הוועדה לערעורים והתייתר הצורך לבחון את טענת העדר היריבות ה"טהורה".</w:t>
      </w:r>
    </w:p>
    <w:p w:rsidR="000B74E6" w:rsidRDefault="000B74E6" w:rsidP="000B74E6">
      <w:pPr>
        <w:pStyle w:val="P00"/>
        <w:spacing w:before="0" w:line="360" w:lineRule="auto"/>
        <w:ind w:left="-150"/>
        <w:rPr>
          <w:rFonts w:ascii="David" w:hAnsi="David" w:cs="David"/>
          <w:sz w:val="24"/>
          <w:szCs w:val="24"/>
        </w:rPr>
      </w:pPr>
    </w:p>
    <w:p w:rsidR="000B74E6" w:rsidRDefault="000B74E6" w:rsidP="000B74E6">
      <w:pPr>
        <w:pStyle w:val="P00"/>
        <w:numPr>
          <w:ilvl w:val="0"/>
          <w:numId w:val="1"/>
        </w:numPr>
        <w:spacing w:before="0" w:line="360" w:lineRule="auto"/>
        <w:ind w:left="360" w:hanging="510"/>
        <w:rPr>
          <w:rFonts w:ascii="David" w:hAnsi="David" w:cs="David"/>
          <w:sz w:val="24"/>
          <w:szCs w:val="24"/>
          <w:rtl/>
        </w:rPr>
      </w:pPr>
      <w:r>
        <w:rPr>
          <w:rFonts w:ascii="David" w:hAnsi="David" w:cs="David"/>
          <w:sz w:val="24"/>
          <w:szCs w:val="24"/>
          <w:rtl/>
        </w:rPr>
        <w:t xml:space="preserve">בצד זאת, לאחר שקבעתי כי לא הונחה תשתית מספקת לטענות החסינות השיפוטית והעדר היריבות לגבי הוועדות הרפואיות האחרות, אני מוצא לנכון לקבל את בקשת המבקשת (מס' 10) להוספת ראיה של מכרז שפרסם המוסד מס' מ(2043) 2013 למתן שירותי ניהול ותפעול ועדות ערר (בשלב ראשון – לאזור הצפון). מקובל עלי שהגם שטענת העדר היריבות נטענה עוד בתשובת המוסד לבקשת האישור (ובבקשת הסילוק), רק בקדם המשפט הראשון התברר במענה לשאלת בית המשפט כי באי כוח המוסד סבורים כי </w:t>
      </w:r>
      <w:r>
        <w:rPr>
          <w:rFonts w:ascii="David" w:hAnsi="David" w:cs="David"/>
          <w:b/>
          <w:bCs/>
          <w:sz w:val="24"/>
          <w:szCs w:val="24"/>
          <w:u w:val="single"/>
          <w:rtl/>
        </w:rPr>
        <w:t>המשיבה הנכונה היא המדינה</w:t>
      </w:r>
      <w:r>
        <w:rPr>
          <w:rFonts w:ascii="David" w:hAnsi="David" w:cs="David"/>
          <w:sz w:val="24"/>
          <w:szCs w:val="24"/>
          <w:rtl/>
        </w:rPr>
        <w:t xml:space="preserve"> (עמ' 6 ש' 11-15). מאחר שהמכרז עוסק, בין היתר, בתפקידי המוסד בכל הקשור לוועדות הערר (ובאלה שיועברו לזוכה במכרז – למשל, עמ' 33-37 למכרז), יכול ויהיה בו כדי להציג תמונה ברורה וקוהרנטית יותר באשר לתפקידי המוסד בכל הקשור לוועדות הערר לפחות, ובפני בית המשפט יימצא מידע נוסף בנוגע לשאלת היריבות.</w:t>
      </w:r>
    </w:p>
    <w:p w:rsidR="000B74E6" w:rsidRDefault="000B74E6" w:rsidP="000B74E6">
      <w:pPr>
        <w:pStyle w:val="P00"/>
        <w:spacing w:before="0" w:line="360" w:lineRule="auto"/>
        <w:ind w:left="360"/>
        <w:rPr>
          <w:rFonts w:ascii="David" w:hAnsi="David" w:cs="David"/>
          <w:b/>
          <w:bCs/>
          <w:sz w:val="24"/>
          <w:szCs w:val="24"/>
        </w:rPr>
      </w:pPr>
      <w:r>
        <w:rPr>
          <w:rFonts w:ascii="David" w:hAnsi="David" w:cs="David"/>
          <w:b/>
          <w:bCs/>
          <w:sz w:val="24"/>
          <w:szCs w:val="24"/>
          <w:rtl/>
        </w:rPr>
        <w:t>המכרז יוגש, אפוא, באופן נפרד על ידי המבקשת לתיק בית המשפט תוך 10 ימים, ויתוייק על ידי המזכירות בתיקיית המוצגים.</w:t>
      </w:r>
    </w:p>
    <w:p w:rsidR="000B74E6" w:rsidRDefault="000B74E6" w:rsidP="000B74E6">
      <w:pPr>
        <w:pStyle w:val="P00"/>
        <w:spacing w:before="0" w:line="360" w:lineRule="auto"/>
        <w:ind w:left="-150"/>
        <w:rPr>
          <w:rFonts w:ascii="David" w:hAnsi="David" w:cs="David"/>
          <w:sz w:val="24"/>
          <w:szCs w:val="24"/>
          <w:rtl/>
        </w:rPr>
      </w:pPr>
    </w:p>
    <w:p w:rsidR="000B74E6" w:rsidRDefault="000B74E6" w:rsidP="000B74E6">
      <w:pPr>
        <w:pStyle w:val="P00"/>
        <w:spacing w:before="0" w:line="360" w:lineRule="auto"/>
        <w:ind w:left="-150"/>
        <w:rPr>
          <w:rFonts w:ascii="David" w:hAnsi="David" w:cs="David"/>
          <w:b/>
          <w:bCs/>
          <w:sz w:val="26"/>
          <w:u w:val="single"/>
          <w:rtl/>
        </w:rPr>
      </w:pPr>
      <w:r>
        <w:rPr>
          <w:rFonts w:ascii="David" w:hAnsi="David" w:cs="David"/>
          <w:b/>
          <w:bCs/>
          <w:sz w:val="26"/>
          <w:u w:val="single"/>
          <w:rtl/>
        </w:rPr>
        <w:t>טענות נוספות בבקשת הסילוק על הסף</w:t>
      </w:r>
    </w:p>
    <w:p w:rsidR="000B74E6" w:rsidRDefault="000B74E6" w:rsidP="000B74E6">
      <w:pPr>
        <w:pStyle w:val="P00"/>
        <w:spacing w:before="0" w:line="360" w:lineRule="auto"/>
        <w:ind w:left="-150"/>
        <w:rPr>
          <w:rFonts w:ascii="David" w:hAnsi="David" w:cs="David"/>
          <w:sz w:val="24"/>
          <w:szCs w:val="24"/>
          <w:rtl/>
        </w:rPr>
      </w:pPr>
    </w:p>
    <w:p w:rsidR="000B74E6" w:rsidRDefault="000B74E6" w:rsidP="000B74E6">
      <w:pPr>
        <w:pStyle w:val="P00"/>
        <w:numPr>
          <w:ilvl w:val="0"/>
          <w:numId w:val="1"/>
        </w:numPr>
        <w:spacing w:before="0" w:line="360" w:lineRule="auto"/>
        <w:ind w:left="360" w:hanging="510"/>
        <w:rPr>
          <w:rFonts w:ascii="David" w:hAnsi="David" w:cs="David"/>
          <w:sz w:val="24"/>
          <w:szCs w:val="24"/>
          <w:rtl/>
        </w:rPr>
      </w:pPr>
      <w:r>
        <w:rPr>
          <w:rFonts w:ascii="David" w:hAnsi="David" w:cs="David"/>
          <w:sz w:val="24"/>
          <w:szCs w:val="24"/>
          <w:rtl/>
        </w:rPr>
        <w:t>אדון עתה, בקצרה, בטענות נוספות שנכללו בבקשת הסילוק.</w:t>
      </w:r>
    </w:p>
    <w:p w:rsidR="000B74E6" w:rsidRDefault="000B74E6" w:rsidP="000B74E6">
      <w:pPr>
        <w:pStyle w:val="P00"/>
        <w:spacing w:before="0" w:line="360" w:lineRule="auto"/>
        <w:ind w:left="-150"/>
        <w:rPr>
          <w:rFonts w:ascii="David" w:hAnsi="David" w:cs="David"/>
          <w:sz w:val="24"/>
          <w:szCs w:val="24"/>
        </w:rPr>
      </w:pPr>
    </w:p>
    <w:p w:rsidR="000B74E6" w:rsidRDefault="000B74E6" w:rsidP="000B74E6">
      <w:pPr>
        <w:pStyle w:val="P00"/>
        <w:spacing w:before="0" w:line="360" w:lineRule="auto"/>
        <w:ind w:left="-150"/>
        <w:rPr>
          <w:rFonts w:ascii="David" w:hAnsi="David" w:cs="David"/>
          <w:b/>
          <w:bCs/>
          <w:sz w:val="24"/>
          <w:szCs w:val="24"/>
          <w:u w:val="single"/>
          <w:rtl/>
        </w:rPr>
      </w:pPr>
      <w:r>
        <w:rPr>
          <w:rFonts w:ascii="David" w:hAnsi="David" w:cs="David"/>
          <w:b/>
          <w:bCs/>
          <w:sz w:val="24"/>
          <w:szCs w:val="24"/>
          <w:u w:val="single"/>
          <w:rtl/>
        </w:rPr>
        <w:t>העדר סמכות עניינית</w:t>
      </w:r>
    </w:p>
    <w:p w:rsidR="000B74E6" w:rsidRDefault="000B74E6" w:rsidP="000B74E6">
      <w:pPr>
        <w:pStyle w:val="P00"/>
        <w:spacing w:before="0" w:line="360" w:lineRule="auto"/>
        <w:ind w:left="-150"/>
        <w:rPr>
          <w:rFonts w:ascii="David" w:hAnsi="David" w:cs="David"/>
          <w:sz w:val="24"/>
          <w:szCs w:val="24"/>
          <w:rtl/>
        </w:rPr>
      </w:pPr>
    </w:p>
    <w:p w:rsidR="000B74E6" w:rsidRDefault="000B74E6" w:rsidP="000B74E6">
      <w:pPr>
        <w:pStyle w:val="P00"/>
        <w:numPr>
          <w:ilvl w:val="0"/>
          <w:numId w:val="1"/>
        </w:numPr>
        <w:spacing w:before="0" w:line="360" w:lineRule="auto"/>
        <w:ind w:left="360" w:hanging="510"/>
        <w:rPr>
          <w:rFonts w:ascii="David" w:hAnsi="David" w:cs="David"/>
          <w:sz w:val="24"/>
          <w:szCs w:val="24"/>
          <w:rtl/>
        </w:rPr>
      </w:pPr>
      <w:r>
        <w:rPr>
          <w:rFonts w:ascii="David" w:hAnsi="David" w:cs="David"/>
          <w:sz w:val="24"/>
          <w:szCs w:val="24"/>
          <w:rtl/>
        </w:rPr>
        <w:t>נטען על ידי המוסד כי הסמכות העניינית לדון בתביעה זו מסורה באופן בלעדי לבית הדין האזורי לעבודה.</w:t>
      </w:r>
    </w:p>
    <w:p w:rsidR="000B74E6" w:rsidRDefault="000B74E6" w:rsidP="000B74E6">
      <w:pPr>
        <w:pStyle w:val="P00"/>
        <w:spacing w:before="0" w:line="360" w:lineRule="auto"/>
        <w:ind w:left="360"/>
        <w:rPr>
          <w:rFonts w:ascii="David" w:hAnsi="David" w:cs="David"/>
          <w:sz w:val="24"/>
          <w:szCs w:val="24"/>
        </w:rPr>
      </w:pPr>
    </w:p>
    <w:p w:rsidR="000B74E6" w:rsidRDefault="000B74E6" w:rsidP="000B74E6">
      <w:pPr>
        <w:pStyle w:val="P00"/>
        <w:spacing w:before="0" w:line="360" w:lineRule="auto"/>
        <w:ind w:left="360"/>
        <w:rPr>
          <w:rFonts w:ascii="David" w:hAnsi="David" w:cs="David"/>
          <w:sz w:val="24"/>
          <w:szCs w:val="24"/>
          <w:rtl/>
        </w:rPr>
      </w:pPr>
      <w:r>
        <w:rPr>
          <w:rFonts w:ascii="David" w:hAnsi="David" w:cs="David"/>
          <w:sz w:val="24"/>
          <w:szCs w:val="24"/>
          <w:rtl/>
        </w:rPr>
        <w:t xml:space="preserve">אני דוחה טענה זו. הסמכות העניינית לדון בערעור על החלטת ועדה לערעורים מושא בקשת האישור מסורה אכן לבית הדין האזורי לעבודה, אך הסמכות העניינית לדון בתביעה בה נטען </w:t>
      </w:r>
      <w:r>
        <w:rPr>
          <w:rFonts w:ascii="David" w:hAnsi="David" w:cs="David"/>
          <w:sz w:val="24"/>
          <w:szCs w:val="24"/>
          <w:rtl/>
        </w:rPr>
        <w:lastRenderedPageBreak/>
        <w:t>לעוולה ולנזק נטען אשר נגרם עקב אותה החלטה, מסורה לבית המשפט האזרחי.</w:t>
      </w:r>
    </w:p>
    <w:p w:rsidR="000B74E6" w:rsidRDefault="000B74E6" w:rsidP="000B74E6">
      <w:pPr>
        <w:pStyle w:val="P00"/>
        <w:spacing w:before="0" w:line="360" w:lineRule="auto"/>
        <w:ind w:left="360"/>
        <w:rPr>
          <w:rFonts w:ascii="David" w:hAnsi="David" w:cs="David"/>
          <w:sz w:val="24"/>
          <w:szCs w:val="24"/>
          <w:rtl/>
        </w:rPr>
      </w:pPr>
    </w:p>
    <w:p w:rsidR="000B74E6" w:rsidRDefault="000B74E6" w:rsidP="000B74E6">
      <w:pPr>
        <w:pStyle w:val="P00"/>
        <w:spacing w:before="0" w:line="360" w:lineRule="auto"/>
        <w:ind w:left="-150"/>
        <w:rPr>
          <w:rFonts w:ascii="David" w:hAnsi="David" w:cs="David"/>
          <w:b/>
          <w:bCs/>
          <w:sz w:val="24"/>
          <w:szCs w:val="24"/>
          <w:u w:val="single"/>
        </w:rPr>
      </w:pPr>
      <w:r>
        <w:rPr>
          <w:rFonts w:ascii="David" w:hAnsi="David" w:cs="David"/>
          <w:b/>
          <w:bCs/>
          <w:sz w:val="24"/>
          <w:szCs w:val="24"/>
          <w:u w:val="single"/>
          <w:rtl/>
        </w:rPr>
        <w:t>התיישנות</w:t>
      </w:r>
    </w:p>
    <w:p w:rsidR="000B74E6" w:rsidRDefault="000B74E6" w:rsidP="000B74E6">
      <w:pPr>
        <w:pStyle w:val="P00"/>
        <w:spacing w:before="0" w:line="360" w:lineRule="auto"/>
        <w:ind w:left="360"/>
        <w:rPr>
          <w:rFonts w:ascii="David" w:hAnsi="David" w:cs="David"/>
          <w:sz w:val="24"/>
          <w:szCs w:val="24"/>
        </w:rPr>
      </w:pPr>
    </w:p>
    <w:p w:rsidR="000B74E6" w:rsidRDefault="000B74E6" w:rsidP="000B74E6">
      <w:pPr>
        <w:pStyle w:val="P00"/>
        <w:numPr>
          <w:ilvl w:val="0"/>
          <w:numId w:val="1"/>
        </w:numPr>
        <w:spacing w:before="0" w:line="360" w:lineRule="auto"/>
        <w:ind w:left="360" w:hanging="510"/>
        <w:rPr>
          <w:rFonts w:ascii="David" w:hAnsi="David" w:cs="David"/>
          <w:sz w:val="24"/>
          <w:szCs w:val="24"/>
        </w:rPr>
      </w:pPr>
      <w:r>
        <w:rPr>
          <w:rFonts w:ascii="David" w:hAnsi="David" w:cs="David"/>
          <w:sz w:val="24"/>
          <w:szCs w:val="24"/>
          <w:rtl/>
        </w:rPr>
        <w:t>מהטעם הנזכר לעיל לגבי טענת העדר הסמכות העניינית יש לדחות גם את טענת ההתיישנות.</w:t>
      </w:r>
    </w:p>
    <w:p w:rsidR="000B74E6" w:rsidRDefault="000B74E6" w:rsidP="000B74E6">
      <w:pPr>
        <w:pStyle w:val="P00"/>
        <w:spacing w:before="0" w:line="360" w:lineRule="auto"/>
        <w:ind w:left="360"/>
        <w:rPr>
          <w:rFonts w:ascii="David" w:hAnsi="David" w:cs="David"/>
          <w:sz w:val="24"/>
          <w:szCs w:val="24"/>
        </w:rPr>
      </w:pPr>
      <w:r>
        <w:rPr>
          <w:rFonts w:ascii="David" w:hAnsi="David" w:cs="David"/>
          <w:sz w:val="24"/>
          <w:szCs w:val="24"/>
          <w:rtl/>
        </w:rPr>
        <w:t>כוחה של טענה זו יפה במקרה של הגשת ערעור על החלטת הוועדה לערעורים (המועד להגשת הערעור הוא 60 יום ממועד מסירת ההחלטה למערער), אך לא לגבי הגשת תביעה בגין נזק נטען שנגרם עקב אותה החלטה, עליה חלים דיני ההתיישנות "הרגילים".</w:t>
      </w:r>
    </w:p>
    <w:p w:rsidR="000B74E6" w:rsidRDefault="000B74E6" w:rsidP="000B74E6">
      <w:pPr>
        <w:pStyle w:val="P00"/>
        <w:spacing w:before="0" w:line="360" w:lineRule="auto"/>
        <w:ind w:left="-150"/>
        <w:rPr>
          <w:rFonts w:ascii="David" w:hAnsi="David" w:cs="David"/>
          <w:sz w:val="24"/>
          <w:szCs w:val="24"/>
        </w:rPr>
      </w:pPr>
    </w:p>
    <w:p w:rsidR="000B74E6" w:rsidRDefault="000B74E6" w:rsidP="000B74E6">
      <w:pPr>
        <w:pStyle w:val="P00"/>
        <w:spacing w:before="0" w:line="360" w:lineRule="auto"/>
        <w:ind w:left="-150"/>
        <w:rPr>
          <w:rFonts w:ascii="David" w:hAnsi="David" w:cs="David"/>
          <w:b/>
          <w:bCs/>
          <w:sz w:val="24"/>
          <w:szCs w:val="24"/>
          <w:u w:val="single"/>
          <w:rtl/>
        </w:rPr>
      </w:pPr>
      <w:r>
        <w:rPr>
          <w:rFonts w:ascii="David" w:hAnsi="David" w:cs="David"/>
          <w:b/>
          <w:bCs/>
          <w:sz w:val="24"/>
          <w:szCs w:val="24"/>
          <w:u w:val="single"/>
          <w:rtl/>
        </w:rPr>
        <w:t>לא ניתן להגיש תובענה ייצוגית נגד רשות (המוסד) בכובעה ככזאת אלא רק לפי פרט 11 לתוספת השנייה בחוק תובענות ייצוגיות שאינו מתקיים בענייננו</w:t>
      </w:r>
    </w:p>
    <w:p w:rsidR="000B74E6" w:rsidRDefault="000B74E6" w:rsidP="000B74E6">
      <w:pPr>
        <w:pStyle w:val="P00"/>
        <w:spacing w:before="0" w:line="360" w:lineRule="auto"/>
        <w:ind w:left="-150"/>
        <w:rPr>
          <w:rFonts w:ascii="David" w:hAnsi="David" w:cs="David"/>
          <w:sz w:val="24"/>
          <w:szCs w:val="24"/>
          <w:rtl/>
        </w:rPr>
      </w:pPr>
    </w:p>
    <w:p w:rsidR="000B74E6" w:rsidRDefault="000B74E6" w:rsidP="000B74E6">
      <w:pPr>
        <w:pStyle w:val="P00"/>
        <w:numPr>
          <w:ilvl w:val="0"/>
          <w:numId w:val="1"/>
        </w:numPr>
        <w:spacing w:before="0" w:line="360" w:lineRule="auto"/>
        <w:ind w:left="360" w:hanging="510"/>
        <w:rPr>
          <w:rFonts w:ascii="David" w:hAnsi="David" w:cs="David"/>
          <w:sz w:val="24"/>
          <w:szCs w:val="24"/>
          <w:rtl/>
        </w:rPr>
      </w:pPr>
      <w:r>
        <w:rPr>
          <w:rFonts w:ascii="David" w:hAnsi="David" w:cs="David"/>
          <w:sz w:val="24"/>
          <w:szCs w:val="24"/>
          <w:rtl/>
        </w:rPr>
        <w:t xml:space="preserve">פרט 11 בתוספת השנייה לחוק תובענות ייצוגיות קובע כי ניתן להגיש בקשה לאישור תביעה ייצוגית נגד </w:t>
      </w:r>
      <w:r>
        <w:rPr>
          <w:rFonts w:ascii="David" w:hAnsi="David" w:cs="David"/>
          <w:b/>
          <w:bCs/>
          <w:sz w:val="24"/>
          <w:szCs w:val="24"/>
          <w:u w:val="single"/>
          <w:rtl/>
        </w:rPr>
        <w:t>רשות</w:t>
      </w:r>
      <w:r>
        <w:rPr>
          <w:rFonts w:ascii="David" w:hAnsi="David" w:cs="David"/>
          <w:sz w:val="24"/>
          <w:szCs w:val="24"/>
          <w:rtl/>
        </w:rPr>
        <w:t xml:space="preserve"> </w:t>
      </w:r>
      <w:r>
        <w:rPr>
          <w:rFonts w:ascii="David" w:hAnsi="David" w:cs="David"/>
          <w:b/>
          <w:bCs/>
          <w:sz w:val="24"/>
          <w:szCs w:val="24"/>
          <w:rtl/>
        </w:rPr>
        <w:t>"להשבת סכומים שגבתה שלא כדין, כמס, אגרה או תשלום חובה אחר"</w:t>
      </w:r>
      <w:r>
        <w:rPr>
          <w:rFonts w:ascii="David" w:hAnsi="David" w:cs="David"/>
          <w:sz w:val="24"/>
          <w:szCs w:val="24"/>
          <w:rtl/>
        </w:rPr>
        <w:t xml:space="preserve">. </w:t>
      </w:r>
    </w:p>
    <w:p w:rsidR="000B74E6" w:rsidRDefault="000B74E6" w:rsidP="000B74E6">
      <w:pPr>
        <w:pStyle w:val="P00"/>
        <w:spacing w:before="0" w:line="360" w:lineRule="auto"/>
        <w:ind w:left="360"/>
        <w:rPr>
          <w:rFonts w:ascii="David" w:hAnsi="David" w:cs="David"/>
          <w:sz w:val="24"/>
          <w:szCs w:val="24"/>
        </w:rPr>
      </w:pPr>
    </w:p>
    <w:p w:rsidR="000B74E6" w:rsidRDefault="000B74E6" w:rsidP="000B74E6">
      <w:pPr>
        <w:pStyle w:val="P00"/>
        <w:numPr>
          <w:ilvl w:val="0"/>
          <w:numId w:val="1"/>
        </w:numPr>
        <w:spacing w:before="0" w:line="360" w:lineRule="auto"/>
        <w:ind w:left="360" w:hanging="510"/>
        <w:rPr>
          <w:rFonts w:ascii="David" w:hAnsi="David" w:cs="David"/>
          <w:sz w:val="24"/>
          <w:szCs w:val="24"/>
        </w:rPr>
      </w:pPr>
      <w:r>
        <w:rPr>
          <w:rFonts w:ascii="David" w:hAnsi="David" w:cs="David"/>
          <w:sz w:val="24"/>
          <w:szCs w:val="24"/>
          <w:rtl/>
        </w:rPr>
        <w:t xml:space="preserve">בקשת האישור שבפני אינה מבוססת כמובן על פרט 11 האמור, אלא על פרט 9 לתוספת השנייה הנזכרת לעיל, לפיו אחת התביעות שניתן להגיש בה בקשת אישור היא </w:t>
      </w:r>
      <w:r>
        <w:rPr>
          <w:rFonts w:ascii="David" w:hAnsi="David" w:cs="David"/>
          <w:b/>
          <w:bCs/>
          <w:sz w:val="24"/>
          <w:szCs w:val="24"/>
          <w:rtl/>
        </w:rPr>
        <w:t>"תביעה בעילה לפי פרקים ד', ה' או ה'1 לחוק שוויון זכויות לאנשים עם מוגבלות"</w:t>
      </w:r>
      <w:r>
        <w:rPr>
          <w:rFonts w:ascii="David" w:hAnsi="David" w:cs="David"/>
          <w:sz w:val="24"/>
          <w:szCs w:val="24"/>
          <w:rtl/>
        </w:rPr>
        <w:t>. התביעה בענייננו מבוססת אכן על פרק ה'1 לחוק השוויון.</w:t>
      </w:r>
    </w:p>
    <w:p w:rsidR="000B74E6" w:rsidRDefault="000B74E6" w:rsidP="000B74E6">
      <w:pPr>
        <w:pStyle w:val="P00"/>
        <w:spacing w:before="0" w:line="360" w:lineRule="auto"/>
        <w:ind w:left="360"/>
        <w:rPr>
          <w:rFonts w:ascii="David" w:hAnsi="David" w:cs="David"/>
          <w:sz w:val="24"/>
          <w:szCs w:val="24"/>
        </w:rPr>
      </w:pPr>
    </w:p>
    <w:p w:rsidR="000B74E6" w:rsidRDefault="000B74E6" w:rsidP="000B74E6">
      <w:pPr>
        <w:pStyle w:val="P00"/>
        <w:numPr>
          <w:ilvl w:val="0"/>
          <w:numId w:val="1"/>
        </w:numPr>
        <w:spacing w:before="0" w:line="360" w:lineRule="auto"/>
        <w:ind w:left="360" w:hanging="510"/>
        <w:rPr>
          <w:rFonts w:ascii="David" w:hAnsi="David" w:cs="David"/>
          <w:sz w:val="24"/>
          <w:szCs w:val="24"/>
        </w:rPr>
      </w:pPr>
      <w:r>
        <w:rPr>
          <w:rFonts w:ascii="David" w:hAnsi="David" w:cs="David"/>
          <w:sz w:val="24"/>
          <w:szCs w:val="24"/>
          <w:rtl/>
        </w:rPr>
        <w:t>המוסד טוען כי לא ניתן להגיש תביעה נגד רשות לגבי מילוי תפקידה כרשות אלא לפי פרט 11 לתוספת השנייה הנזכר לעיל.</w:t>
      </w:r>
    </w:p>
    <w:p w:rsidR="000B74E6" w:rsidRDefault="000B74E6" w:rsidP="000B74E6">
      <w:pPr>
        <w:pStyle w:val="P00"/>
        <w:spacing w:before="0" w:line="360" w:lineRule="auto"/>
        <w:ind w:left="360"/>
        <w:rPr>
          <w:rFonts w:ascii="David" w:hAnsi="David" w:cs="David"/>
          <w:sz w:val="24"/>
          <w:szCs w:val="24"/>
        </w:rPr>
      </w:pPr>
    </w:p>
    <w:p w:rsidR="000B74E6" w:rsidRDefault="000B74E6" w:rsidP="000B74E6">
      <w:pPr>
        <w:pStyle w:val="P00"/>
        <w:numPr>
          <w:ilvl w:val="0"/>
          <w:numId w:val="1"/>
        </w:numPr>
        <w:spacing w:before="0" w:line="360" w:lineRule="auto"/>
        <w:ind w:left="360" w:hanging="510"/>
        <w:rPr>
          <w:rFonts w:ascii="David" w:hAnsi="David" w:cs="David"/>
          <w:sz w:val="24"/>
          <w:szCs w:val="24"/>
        </w:rPr>
      </w:pPr>
      <w:r>
        <w:rPr>
          <w:rFonts w:ascii="David" w:hAnsi="David" w:cs="David"/>
          <w:sz w:val="24"/>
          <w:szCs w:val="24"/>
          <w:rtl/>
        </w:rPr>
        <w:t xml:space="preserve">טענתו זו של המוסד נטענה גם ברע"א 5477/20 </w:t>
      </w:r>
      <w:r>
        <w:rPr>
          <w:rFonts w:ascii="David" w:hAnsi="David" w:cs="David"/>
          <w:b/>
          <w:bCs/>
          <w:sz w:val="24"/>
          <w:szCs w:val="24"/>
          <w:rtl/>
        </w:rPr>
        <w:t>עיריית בני ברק נ' בן ששון</w:t>
      </w:r>
      <w:r>
        <w:rPr>
          <w:rFonts w:ascii="David" w:hAnsi="David" w:cs="David"/>
          <w:sz w:val="24"/>
          <w:szCs w:val="24"/>
          <w:rtl/>
        </w:rPr>
        <w:t xml:space="preserve"> (15.8.21) (להלן: </w:t>
      </w:r>
      <w:r>
        <w:rPr>
          <w:rFonts w:ascii="David" w:hAnsi="David" w:cs="David"/>
          <w:b/>
          <w:bCs/>
          <w:sz w:val="24"/>
          <w:szCs w:val="24"/>
          <w:rtl/>
        </w:rPr>
        <w:t>"עניין בן ששון"</w:t>
      </w:r>
      <w:r>
        <w:rPr>
          <w:rFonts w:ascii="David" w:hAnsi="David" w:cs="David"/>
          <w:sz w:val="24"/>
          <w:szCs w:val="24"/>
          <w:rtl/>
        </w:rPr>
        <w:t>) ונדחתה שם.</w:t>
      </w:r>
    </w:p>
    <w:p w:rsidR="000B74E6" w:rsidRDefault="000B74E6" w:rsidP="000B74E6">
      <w:pPr>
        <w:pStyle w:val="P00"/>
        <w:spacing w:before="0" w:line="360" w:lineRule="auto"/>
        <w:ind w:left="360"/>
        <w:rPr>
          <w:rFonts w:ascii="David" w:hAnsi="David" w:cs="David"/>
          <w:sz w:val="24"/>
          <w:szCs w:val="24"/>
        </w:rPr>
      </w:pPr>
      <w:r>
        <w:rPr>
          <w:rFonts w:ascii="David" w:hAnsi="David" w:cs="David"/>
          <w:sz w:val="24"/>
          <w:szCs w:val="24"/>
          <w:rtl/>
        </w:rPr>
        <w:t>בעניין בן ששון ערכה כב' השופטת ברון ניתוח מקיף ומדוקדק של הסוגיה, ואביא רק את מסקנתה כדלקמן:</w:t>
      </w:r>
    </w:p>
    <w:p w:rsidR="000B74E6" w:rsidRDefault="000B74E6" w:rsidP="000B74E6">
      <w:pPr>
        <w:pStyle w:val="P00"/>
        <w:spacing w:before="0" w:line="360" w:lineRule="auto"/>
        <w:ind w:left="360"/>
        <w:rPr>
          <w:rFonts w:ascii="David" w:hAnsi="David" w:cs="David"/>
          <w:sz w:val="24"/>
          <w:szCs w:val="24"/>
          <w:rtl/>
        </w:rPr>
      </w:pPr>
    </w:p>
    <w:p w:rsidR="000B74E6" w:rsidRDefault="000B74E6" w:rsidP="000B74E6">
      <w:pPr>
        <w:pStyle w:val="ad"/>
        <w:spacing w:after="0" w:line="360" w:lineRule="auto"/>
        <w:ind w:left="1076" w:right="851"/>
        <w:jc w:val="both"/>
        <w:rPr>
          <w:rFonts w:ascii="David" w:hAnsi="David" w:cs="David"/>
          <w:sz w:val="24"/>
          <w:szCs w:val="24"/>
          <w:rtl/>
        </w:rPr>
      </w:pPr>
      <w:r>
        <w:rPr>
          <w:rFonts w:ascii="David" w:hAnsi="David" w:cs="David"/>
          <w:b/>
          <w:bCs/>
          <w:color w:val="000000"/>
          <w:spacing w:val="10"/>
          <w:sz w:val="24"/>
          <w:szCs w:val="24"/>
          <w:rtl/>
        </w:rPr>
        <w:t>"</w:t>
      </w:r>
      <w:r>
        <w:rPr>
          <w:rFonts w:ascii="David" w:hAnsi="David" w:cs="David"/>
          <w:b/>
          <w:bCs/>
          <w:color w:val="000000"/>
          <w:sz w:val="24"/>
          <w:szCs w:val="24"/>
          <w:rtl/>
        </w:rPr>
        <w:t xml:space="preserve">לנוכח כל האמור, אין בידי לקבל את טענת העירייה שלפיה לא ניתן לנהל נגדה תובענה ייצוגית </w:t>
      </w:r>
      <w:proofErr w:type="spellStart"/>
      <w:r>
        <w:rPr>
          <w:rFonts w:ascii="David" w:hAnsi="David" w:cs="David"/>
          <w:b/>
          <w:bCs/>
          <w:sz w:val="24"/>
          <w:szCs w:val="24"/>
          <w:rtl/>
        </w:rPr>
        <w:t>מכח</w:t>
      </w:r>
      <w:proofErr w:type="spellEnd"/>
      <w:r>
        <w:rPr>
          <w:rFonts w:ascii="David" w:hAnsi="David" w:cs="David"/>
          <w:b/>
          <w:bCs/>
          <w:sz w:val="24"/>
          <w:szCs w:val="24"/>
          <w:rtl/>
        </w:rPr>
        <w:t> פרט 9</w:t>
      </w:r>
      <w:r>
        <w:rPr>
          <w:rFonts w:ascii="David" w:hAnsi="David" w:cs="David"/>
          <w:b/>
          <w:bCs/>
          <w:sz w:val="24"/>
          <w:szCs w:val="24"/>
        </w:rPr>
        <w:t>(1) </w:t>
      </w:r>
      <w:r>
        <w:rPr>
          <w:rFonts w:ascii="David" w:hAnsi="David" w:cs="David"/>
          <w:b/>
          <w:bCs/>
          <w:sz w:val="24"/>
          <w:szCs w:val="24"/>
          <w:rtl/>
        </w:rPr>
        <w:t xml:space="preserve"> </w:t>
      </w:r>
      <w:r>
        <w:rPr>
          <w:rFonts w:ascii="David" w:hAnsi="David" w:cs="David" w:hint="cs"/>
          <w:b/>
          <w:bCs/>
          <w:sz w:val="24"/>
          <w:szCs w:val="24"/>
          <w:rtl/>
        </w:rPr>
        <w:t xml:space="preserve">לתוספת </w:t>
      </w:r>
      <w:proofErr w:type="spellStart"/>
      <w:r>
        <w:rPr>
          <w:rFonts w:ascii="David" w:hAnsi="David" w:cs="David" w:hint="cs"/>
          <w:b/>
          <w:bCs/>
          <w:color w:val="000000"/>
          <w:sz w:val="24"/>
          <w:szCs w:val="24"/>
          <w:rtl/>
        </w:rPr>
        <w:t>השניה</w:t>
      </w:r>
      <w:proofErr w:type="spellEnd"/>
      <w:r>
        <w:rPr>
          <w:rFonts w:ascii="David" w:hAnsi="David" w:cs="David" w:hint="cs"/>
          <w:b/>
          <w:bCs/>
          <w:color w:val="000000"/>
          <w:sz w:val="24"/>
          <w:szCs w:val="24"/>
          <w:rtl/>
        </w:rPr>
        <w:t>. טענה זו אינה מתיישבת עם לשון החוק, עם ההסדרים הייחודיים שנקבעו בו בעניינן של רשויות, ובעיקר אינה תואמת את תכליתו של מוסד התובענה הייצ</w:t>
      </w:r>
      <w:r>
        <w:rPr>
          <w:rFonts w:ascii="David" w:hAnsi="David" w:cs="David" w:hint="cs"/>
          <w:b/>
          <w:bCs/>
          <w:sz w:val="24"/>
          <w:szCs w:val="24"/>
          <w:rtl/>
        </w:rPr>
        <w:t>וגית"</w:t>
      </w:r>
      <w:r>
        <w:rPr>
          <w:rFonts w:ascii="David" w:hAnsi="David" w:cs="David"/>
          <w:sz w:val="24"/>
          <w:szCs w:val="24"/>
          <w:rtl/>
        </w:rPr>
        <w:t>.</w:t>
      </w:r>
    </w:p>
    <w:p w:rsidR="000B74E6" w:rsidRDefault="000B74E6" w:rsidP="000B74E6">
      <w:pPr>
        <w:pStyle w:val="P00"/>
        <w:spacing w:before="0" w:line="360" w:lineRule="auto"/>
        <w:ind w:left="360"/>
        <w:rPr>
          <w:rFonts w:ascii="David" w:hAnsi="David" w:cs="David"/>
          <w:b/>
          <w:bCs/>
          <w:sz w:val="24"/>
          <w:szCs w:val="24"/>
          <w:rtl/>
        </w:rPr>
      </w:pPr>
    </w:p>
    <w:p w:rsidR="000B74E6" w:rsidRDefault="000B74E6" w:rsidP="000B74E6">
      <w:pPr>
        <w:pStyle w:val="P00"/>
        <w:numPr>
          <w:ilvl w:val="0"/>
          <w:numId w:val="1"/>
        </w:numPr>
        <w:spacing w:before="0" w:line="360" w:lineRule="auto"/>
        <w:ind w:left="360" w:hanging="510"/>
        <w:rPr>
          <w:rFonts w:ascii="David" w:hAnsi="David" w:cs="David"/>
          <w:b/>
          <w:bCs/>
          <w:sz w:val="24"/>
          <w:szCs w:val="24"/>
        </w:rPr>
      </w:pPr>
      <w:r>
        <w:rPr>
          <w:rFonts w:ascii="David" w:hAnsi="David" w:cs="David"/>
          <w:b/>
          <w:bCs/>
          <w:sz w:val="24"/>
          <w:szCs w:val="24"/>
          <w:rtl/>
        </w:rPr>
        <w:t>בהתאם, נדחית הטענה שבכותרת גם בענייננו</w:t>
      </w:r>
      <w:r>
        <w:rPr>
          <w:rFonts w:ascii="David" w:hAnsi="David" w:cs="David"/>
          <w:sz w:val="24"/>
          <w:szCs w:val="24"/>
          <w:rtl/>
        </w:rPr>
        <w:t>.</w:t>
      </w:r>
    </w:p>
    <w:p w:rsidR="000B74E6" w:rsidRDefault="000B74E6" w:rsidP="000B74E6">
      <w:pPr>
        <w:pStyle w:val="P00"/>
        <w:spacing w:before="0" w:line="360" w:lineRule="auto"/>
        <w:ind w:left="-150"/>
        <w:rPr>
          <w:rFonts w:ascii="David" w:hAnsi="David" w:cs="David"/>
          <w:b/>
          <w:bCs/>
          <w:sz w:val="24"/>
          <w:szCs w:val="24"/>
        </w:rPr>
      </w:pPr>
    </w:p>
    <w:p w:rsidR="000B74E6" w:rsidRDefault="000B74E6" w:rsidP="000B74E6">
      <w:pPr>
        <w:pStyle w:val="P00"/>
        <w:spacing w:before="0" w:line="360" w:lineRule="auto"/>
        <w:ind w:left="-150"/>
        <w:rPr>
          <w:rFonts w:ascii="David" w:hAnsi="David" w:cs="David"/>
          <w:b/>
          <w:bCs/>
          <w:sz w:val="24"/>
          <w:szCs w:val="24"/>
          <w:u w:val="single"/>
          <w:rtl/>
        </w:rPr>
      </w:pPr>
      <w:r>
        <w:rPr>
          <w:rFonts w:ascii="David" w:hAnsi="David" w:cs="David"/>
          <w:b/>
          <w:bCs/>
          <w:sz w:val="24"/>
          <w:szCs w:val="24"/>
          <w:u w:val="single"/>
          <w:rtl/>
        </w:rPr>
        <w:t>טענת השילוט</w:t>
      </w:r>
    </w:p>
    <w:p w:rsidR="000B74E6" w:rsidRDefault="000B74E6" w:rsidP="000B74E6">
      <w:pPr>
        <w:pStyle w:val="P00"/>
        <w:spacing w:before="0" w:line="360" w:lineRule="auto"/>
        <w:ind w:left="-150"/>
        <w:rPr>
          <w:rFonts w:ascii="David" w:hAnsi="David" w:cs="David"/>
          <w:b/>
          <w:bCs/>
          <w:sz w:val="24"/>
          <w:szCs w:val="24"/>
          <w:rtl/>
        </w:rPr>
      </w:pPr>
    </w:p>
    <w:p w:rsidR="000B74E6" w:rsidRDefault="000B74E6" w:rsidP="000B74E6">
      <w:pPr>
        <w:pStyle w:val="P00"/>
        <w:numPr>
          <w:ilvl w:val="0"/>
          <w:numId w:val="1"/>
        </w:numPr>
        <w:spacing w:before="0" w:line="360" w:lineRule="auto"/>
        <w:ind w:left="360" w:hanging="510"/>
        <w:rPr>
          <w:rFonts w:ascii="David" w:hAnsi="David" w:cs="David"/>
          <w:sz w:val="24"/>
          <w:szCs w:val="24"/>
          <w:rtl/>
        </w:rPr>
      </w:pPr>
      <w:r>
        <w:rPr>
          <w:rFonts w:ascii="David" w:hAnsi="David" w:cs="David"/>
          <w:sz w:val="24"/>
          <w:szCs w:val="24"/>
          <w:rtl/>
        </w:rPr>
        <w:t>בסעיף 18 לבקשת האישור טענה המבקשת כי במספר סניפים של המוסד תלויים שלטים אשר בהם מצהיר המוסד מפורשות כי אינו מאפשר נוכחות מלווה ו/או עורך דין במהלך בדיקת הוועדות הרפואיות בתחום הנפש, וכי על סמך שלטים אלה אדם צפוי לסבור מראש כי אסור לו לצרף מלווה מטעמו לבדיקה הפסיכיאטרית, ולהימנע מראש מניסיון לצרף מלווה. במקרים מעין אלה, הוועדה הרפואית אף אינה נחשפת לרצונות של המבוטח לצרף מלווה לבדיקתו.</w:t>
      </w:r>
    </w:p>
    <w:p w:rsidR="000B74E6" w:rsidRDefault="000B74E6" w:rsidP="000B74E6">
      <w:pPr>
        <w:pStyle w:val="P00"/>
        <w:spacing w:before="0" w:line="360" w:lineRule="auto"/>
        <w:ind w:left="360"/>
        <w:rPr>
          <w:rFonts w:ascii="David" w:hAnsi="David" w:cs="David"/>
          <w:sz w:val="24"/>
          <w:szCs w:val="24"/>
        </w:rPr>
      </w:pPr>
      <w:r>
        <w:rPr>
          <w:rFonts w:ascii="David" w:hAnsi="David" w:cs="David"/>
          <w:sz w:val="24"/>
          <w:szCs w:val="24"/>
          <w:rtl/>
        </w:rPr>
        <w:t>להלן צילום של שלט כאמור, שצירפה המבקשת לבקשת האישור:</w:t>
      </w:r>
    </w:p>
    <w:p w:rsidR="000B74E6" w:rsidRDefault="000B74E6" w:rsidP="000B74E6">
      <w:pPr>
        <w:pStyle w:val="P00"/>
        <w:spacing w:before="0" w:line="360" w:lineRule="auto"/>
        <w:ind w:left="360"/>
        <w:rPr>
          <w:rFonts w:ascii="David" w:hAnsi="David" w:cs="David"/>
          <w:sz w:val="24"/>
          <w:szCs w:val="24"/>
          <w:rtl/>
        </w:rPr>
      </w:pPr>
    </w:p>
    <w:p w:rsidR="000B74E6" w:rsidRDefault="000B74E6" w:rsidP="000B74E6">
      <w:pPr>
        <w:pStyle w:val="P00"/>
        <w:spacing w:before="0" w:line="360" w:lineRule="auto"/>
        <w:ind w:left="360"/>
        <w:rPr>
          <w:rFonts w:ascii="David" w:hAnsi="David" w:cs="David"/>
          <w:sz w:val="24"/>
          <w:szCs w:val="24"/>
          <w:rtl/>
        </w:rPr>
      </w:pPr>
      <w:r>
        <w:rPr>
          <w:lang w:eastAsia="en-US"/>
        </w:rPr>
        <w:drawing>
          <wp:inline distT="0" distB="0" distL="0" distR="0">
            <wp:extent cx="4312920" cy="3098165"/>
            <wp:effectExtent l="0" t="0" r="0" b="6985"/>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12920" cy="3098165"/>
                    </a:xfrm>
                    <a:prstGeom prst="rect">
                      <a:avLst/>
                    </a:prstGeom>
                    <a:noFill/>
                    <a:ln>
                      <a:noFill/>
                    </a:ln>
                  </pic:spPr>
                </pic:pic>
              </a:graphicData>
            </a:graphic>
          </wp:inline>
        </w:drawing>
      </w:r>
    </w:p>
    <w:p w:rsidR="000B74E6" w:rsidRDefault="000B74E6" w:rsidP="000B74E6">
      <w:pPr>
        <w:pStyle w:val="P00"/>
        <w:spacing w:before="0" w:line="360" w:lineRule="auto"/>
        <w:ind w:left="360"/>
        <w:rPr>
          <w:rFonts w:ascii="David" w:hAnsi="David" w:cs="David"/>
          <w:sz w:val="24"/>
          <w:szCs w:val="24"/>
        </w:rPr>
      </w:pPr>
    </w:p>
    <w:p w:rsidR="000B74E6" w:rsidRDefault="000B74E6" w:rsidP="000B74E6">
      <w:pPr>
        <w:pStyle w:val="P00"/>
        <w:numPr>
          <w:ilvl w:val="0"/>
          <w:numId w:val="1"/>
        </w:numPr>
        <w:spacing w:before="0" w:line="360" w:lineRule="auto"/>
        <w:ind w:left="360" w:hanging="510"/>
        <w:rPr>
          <w:rFonts w:ascii="David" w:hAnsi="David" w:cs="David"/>
          <w:sz w:val="24"/>
          <w:szCs w:val="24"/>
        </w:rPr>
      </w:pPr>
      <w:r>
        <w:rPr>
          <w:rFonts w:ascii="David" w:hAnsi="David" w:cs="David"/>
          <w:sz w:val="24"/>
          <w:szCs w:val="24"/>
          <w:rtl/>
        </w:rPr>
        <w:t>בתשובתו של המוסד לבקשת האישור נטען בתצהירה של גב' ירונה שלום מטעמו כי "השלטים הנטענים היו קיימים רק ב-2 מתוך 23 הסניפים בהם מתקיימות ועדות רפואיות והם הוסרו". המצהירה הוסיפה כי שלטים אלה נוגדים את מדיניות המוסד ומקורם בטעות נקודתית בלבד.</w:t>
      </w:r>
    </w:p>
    <w:p w:rsidR="000B74E6" w:rsidRDefault="000B74E6" w:rsidP="000B74E6">
      <w:pPr>
        <w:pStyle w:val="P00"/>
        <w:spacing w:before="0" w:line="360" w:lineRule="auto"/>
        <w:ind w:left="360"/>
        <w:rPr>
          <w:rFonts w:ascii="David" w:hAnsi="David" w:cs="David"/>
          <w:sz w:val="24"/>
          <w:szCs w:val="24"/>
          <w:rtl/>
        </w:rPr>
      </w:pPr>
    </w:p>
    <w:p w:rsidR="000B74E6" w:rsidRDefault="000B74E6" w:rsidP="000B74E6">
      <w:pPr>
        <w:pStyle w:val="P00"/>
        <w:numPr>
          <w:ilvl w:val="0"/>
          <w:numId w:val="1"/>
        </w:numPr>
        <w:spacing w:before="0" w:line="360" w:lineRule="auto"/>
        <w:ind w:left="360" w:hanging="510"/>
        <w:rPr>
          <w:rFonts w:ascii="David" w:hAnsi="David" w:cs="David"/>
          <w:sz w:val="24"/>
          <w:szCs w:val="24"/>
          <w:rtl/>
        </w:rPr>
      </w:pPr>
      <w:r>
        <w:rPr>
          <w:rFonts w:ascii="David" w:hAnsi="David" w:cs="David"/>
          <w:sz w:val="24"/>
          <w:szCs w:val="24"/>
          <w:rtl/>
        </w:rPr>
        <w:t>המבקשת עתרה לחקור, בין היתר את הגב' ירונה שלום על תצהירה הנזכר לעיל, והמוסד השיב על כך כי אותו תצהיר ניתן בתמיכה לתשובה לבקשת האישור ולא לבקשה לסילוק על הסף (שניהם הוגשו בכתב טענות אחד). ואכן, בתצהיר הנ"ל צוין כי הוא ניתן בתמיכה לתשובה הנ"ל.</w:t>
      </w:r>
    </w:p>
    <w:p w:rsidR="000B74E6" w:rsidRDefault="000B74E6" w:rsidP="000B74E6">
      <w:pPr>
        <w:pStyle w:val="P00"/>
        <w:spacing w:before="0" w:line="360" w:lineRule="auto"/>
        <w:ind w:left="360"/>
        <w:rPr>
          <w:rFonts w:ascii="David" w:hAnsi="David" w:cs="David"/>
          <w:sz w:val="24"/>
          <w:szCs w:val="24"/>
        </w:rPr>
      </w:pPr>
    </w:p>
    <w:p w:rsidR="000B74E6" w:rsidRDefault="000B74E6" w:rsidP="000B74E6">
      <w:pPr>
        <w:pStyle w:val="P00"/>
        <w:numPr>
          <w:ilvl w:val="0"/>
          <w:numId w:val="1"/>
        </w:numPr>
        <w:spacing w:before="0" w:line="360" w:lineRule="auto"/>
        <w:ind w:left="360" w:hanging="510"/>
        <w:rPr>
          <w:rFonts w:ascii="David" w:hAnsi="David" w:cs="David"/>
          <w:sz w:val="24"/>
          <w:szCs w:val="24"/>
          <w:rtl/>
        </w:rPr>
      </w:pPr>
      <w:r>
        <w:rPr>
          <w:rFonts w:ascii="David" w:hAnsi="David" w:cs="David"/>
          <w:sz w:val="24"/>
          <w:szCs w:val="24"/>
          <w:rtl/>
        </w:rPr>
        <w:t xml:space="preserve">בהתחשב באמור לעיל, ומשנושא השילוט לא היה חלק מהבקשה לסילוק על הסף, אין מקום </w:t>
      </w:r>
      <w:r>
        <w:rPr>
          <w:rFonts w:ascii="David" w:hAnsi="David" w:cs="David"/>
          <w:sz w:val="24"/>
          <w:szCs w:val="24"/>
          <w:rtl/>
        </w:rPr>
        <w:lastRenderedPageBreak/>
        <w:t>לדון בו במסגרת אותה בקשה. על פני הדברים, טעון הוא בירור, בכפוף כמובן לכל הטענות שנטענו בעניין זה, ואין מקום לסלק עילה זו על הסף. ברור שהצבת השילוט הנ"ל, שאף המוסד מסכים שאינו תקין, הוא מעשה שבוצע על ידי המוסד, ואינו מהווה החלטה כלשהי של הוועדה לערעורים. גם היועץ המשפטי לממשלה ציין בעמדתו כך:</w:t>
      </w:r>
    </w:p>
    <w:p w:rsidR="000B74E6" w:rsidRDefault="000B74E6" w:rsidP="000B74E6">
      <w:pPr>
        <w:pStyle w:val="P00"/>
        <w:spacing w:before="0" w:line="360" w:lineRule="auto"/>
        <w:ind w:left="360"/>
        <w:rPr>
          <w:rFonts w:ascii="David" w:hAnsi="David" w:cs="David"/>
          <w:sz w:val="24"/>
          <w:szCs w:val="24"/>
        </w:rPr>
      </w:pPr>
    </w:p>
    <w:p w:rsidR="000B74E6" w:rsidRDefault="000B74E6" w:rsidP="000B74E6">
      <w:pPr>
        <w:pStyle w:val="ad"/>
        <w:spacing w:after="0" w:line="360" w:lineRule="auto"/>
        <w:ind w:left="1076" w:right="851"/>
        <w:jc w:val="both"/>
        <w:rPr>
          <w:rFonts w:ascii="David" w:hAnsi="David" w:cs="David"/>
          <w:b/>
          <w:bCs/>
          <w:sz w:val="24"/>
          <w:szCs w:val="24"/>
          <w:rtl/>
        </w:rPr>
      </w:pPr>
      <w:r>
        <w:rPr>
          <w:rFonts w:ascii="David" w:hAnsi="David" w:cs="David"/>
          <w:b/>
          <w:bCs/>
          <w:sz w:val="24"/>
          <w:szCs w:val="24"/>
          <w:rtl/>
        </w:rPr>
        <w:t>"...הנחיות או הצבת שלטים הקובעים איסור גורף על כניסת מלווים לוועדות הרפואיות נוגדות את הוראות הדין הקבועות בחוק השוויון והתקנות לפיו. עניין הצבת השלטים אינו חוסה תחת החסינות השיפוטית וזאת, משמדובר בפעולות המיוחסות למוסד שנעשו במישור המנהלי כנותן שירות, ומכל מקום אינה חלק מהחלטה שיפוטית או מביצוע תפקיד שיפוטי כזה או אחר של מי מחברי הוועדה. כפועל יוצא, טענות בקשר להצבת השלטים בסניפי המוסד לביטוח לאומי מקומן להתברר בין המבקשת למוסד לביטוח לאומי במישרין ובמסגרת המשפטית המתאימה"</w:t>
      </w:r>
      <w:r>
        <w:rPr>
          <w:rFonts w:ascii="David" w:hAnsi="David" w:cs="David"/>
          <w:sz w:val="24"/>
          <w:szCs w:val="24"/>
          <w:rtl/>
        </w:rPr>
        <w:t>.</w:t>
      </w:r>
    </w:p>
    <w:p w:rsidR="000B74E6" w:rsidRDefault="000B74E6" w:rsidP="000B74E6">
      <w:pPr>
        <w:pStyle w:val="ad"/>
        <w:rPr>
          <w:rFonts w:ascii="David" w:hAnsi="David" w:cs="David"/>
          <w:sz w:val="24"/>
          <w:szCs w:val="24"/>
          <w:rtl/>
        </w:rPr>
      </w:pPr>
    </w:p>
    <w:p w:rsidR="000B74E6" w:rsidRDefault="000B74E6" w:rsidP="000B74E6">
      <w:pPr>
        <w:pStyle w:val="P00"/>
        <w:numPr>
          <w:ilvl w:val="0"/>
          <w:numId w:val="1"/>
        </w:numPr>
        <w:spacing w:before="0" w:line="360" w:lineRule="auto"/>
        <w:ind w:left="360" w:hanging="510"/>
        <w:rPr>
          <w:rFonts w:ascii="David" w:hAnsi="David" w:cs="David"/>
          <w:sz w:val="24"/>
          <w:szCs w:val="24"/>
          <w:rtl/>
        </w:rPr>
      </w:pPr>
      <w:r>
        <w:rPr>
          <w:rFonts w:ascii="David" w:hAnsi="David" w:cs="David"/>
          <w:sz w:val="24"/>
          <w:szCs w:val="24"/>
          <w:rtl/>
        </w:rPr>
        <w:t>אני מסכים עם דברים אלה של היועץ המשפטי לממשלה.</w:t>
      </w:r>
    </w:p>
    <w:p w:rsidR="000B74E6" w:rsidRDefault="000B74E6" w:rsidP="000B74E6">
      <w:pPr>
        <w:pStyle w:val="P00"/>
        <w:spacing w:before="0" w:line="360" w:lineRule="auto"/>
        <w:ind w:left="360"/>
        <w:rPr>
          <w:rFonts w:ascii="David" w:hAnsi="David" w:cs="David"/>
          <w:sz w:val="24"/>
          <w:szCs w:val="24"/>
          <w:rtl/>
        </w:rPr>
      </w:pPr>
    </w:p>
    <w:p w:rsidR="000B74E6" w:rsidRDefault="000B74E6" w:rsidP="000B74E6">
      <w:pPr>
        <w:pStyle w:val="P00"/>
        <w:numPr>
          <w:ilvl w:val="0"/>
          <w:numId w:val="1"/>
        </w:numPr>
        <w:spacing w:before="0" w:line="360" w:lineRule="auto"/>
        <w:ind w:left="360" w:hanging="510"/>
        <w:rPr>
          <w:rFonts w:ascii="David" w:hAnsi="David" w:cs="David"/>
          <w:sz w:val="24"/>
          <w:szCs w:val="24"/>
          <w:rtl/>
        </w:rPr>
      </w:pPr>
      <w:r>
        <w:rPr>
          <w:rFonts w:ascii="David" w:hAnsi="David" w:cs="David"/>
          <w:sz w:val="24"/>
          <w:szCs w:val="24"/>
          <w:rtl/>
        </w:rPr>
        <w:t>האם המסגרת המשפטית של תביעה ייצוגית מתאימה לדון בעניין זה? מסגרת הבקשה לסילוק על הסף אינה מתאימה להכריע בסוגיה זו, גם נוכח הסוגיה העובדתית של מספר הסניפים בהם הוצב השילוט הנ"ל (אף כי מסעיף 5 לפניית ב"כ המבקשת למוסד מיום 14.5.17 (צורפה כנספח 4 לבקשת האישור) עולה כי מדובר אכן בשני סניפים), וטענת המוסד לטעות נקודתית.</w:t>
      </w:r>
    </w:p>
    <w:p w:rsidR="000B74E6" w:rsidRDefault="000B74E6" w:rsidP="000B74E6">
      <w:pPr>
        <w:pStyle w:val="P00"/>
        <w:spacing w:before="0" w:line="360" w:lineRule="auto"/>
        <w:ind w:left="360"/>
        <w:rPr>
          <w:rFonts w:ascii="David" w:hAnsi="David" w:cs="David"/>
          <w:sz w:val="24"/>
          <w:szCs w:val="24"/>
        </w:rPr>
      </w:pPr>
      <w:r>
        <w:rPr>
          <w:rFonts w:ascii="David" w:hAnsi="David" w:cs="David"/>
          <w:sz w:val="24"/>
          <w:szCs w:val="24"/>
          <w:rtl/>
        </w:rPr>
        <w:t>מכל מקום, יש לציין כי אף לגבי טענת השילוט אין למבקשת עילה אישית (הוועדה לערעורים התקיימה בסניף אחר משני הסניפים הנ"ל, והמבקשת לא ציינה כי נתקלה בעצמה בשילוט האמור, וכי הושפעה ממנו).</w:t>
      </w:r>
    </w:p>
    <w:p w:rsidR="000B74E6" w:rsidRDefault="000B74E6" w:rsidP="000B74E6">
      <w:pPr>
        <w:pStyle w:val="P00"/>
        <w:spacing w:before="0" w:line="360" w:lineRule="auto"/>
        <w:ind w:left="-150"/>
        <w:rPr>
          <w:rFonts w:ascii="David" w:hAnsi="David" w:cs="David"/>
          <w:sz w:val="24"/>
          <w:szCs w:val="24"/>
          <w:rtl/>
        </w:rPr>
      </w:pPr>
    </w:p>
    <w:p w:rsidR="000B74E6" w:rsidRDefault="000B74E6" w:rsidP="000B74E6">
      <w:pPr>
        <w:pStyle w:val="P00"/>
        <w:spacing w:before="0" w:line="360" w:lineRule="auto"/>
        <w:ind w:left="-150"/>
        <w:rPr>
          <w:rFonts w:ascii="David" w:hAnsi="David" w:cs="David"/>
          <w:b/>
          <w:bCs/>
          <w:sz w:val="28"/>
          <w:szCs w:val="28"/>
          <w:u w:val="single"/>
          <w:rtl/>
        </w:rPr>
      </w:pPr>
      <w:r>
        <w:rPr>
          <w:rFonts w:ascii="David" w:hAnsi="David" w:cs="David"/>
          <w:b/>
          <w:bCs/>
          <w:sz w:val="28"/>
          <w:szCs w:val="28"/>
          <w:u w:val="single"/>
          <w:rtl/>
        </w:rPr>
        <w:t>סיכום</w:t>
      </w:r>
    </w:p>
    <w:p w:rsidR="000B74E6" w:rsidRDefault="000B74E6" w:rsidP="000B74E6">
      <w:pPr>
        <w:pStyle w:val="P00"/>
        <w:spacing w:before="0" w:line="360" w:lineRule="auto"/>
        <w:ind w:left="-150"/>
        <w:rPr>
          <w:rFonts w:ascii="David" w:hAnsi="David" w:cs="David"/>
          <w:sz w:val="24"/>
          <w:szCs w:val="24"/>
          <w:rtl/>
        </w:rPr>
      </w:pPr>
    </w:p>
    <w:p w:rsidR="000B74E6" w:rsidRDefault="000B74E6" w:rsidP="000B74E6">
      <w:pPr>
        <w:pStyle w:val="P00"/>
        <w:numPr>
          <w:ilvl w:val="0"/>
          <w:numId w:val="1"/>
        </w:numPr>
        <w:spacing w:before="0" w:line="360" w:lineRule="auto"/>
        <w:ind w:left="360" w:hanging="510"/>
        <w:rPr>
          <w:rFonts w:ascii="David" w:hAnsi="David" w:cs="David"/>
          <w:sz w:val="24"/>
          <w:szCs w:val="24"/>
          <w:rtl/>
        </w:rPr>
      </w:pPr>
      <w:r>
        <w:rPr>
          <w:rFonts w:ascii="David" w:hAnsi="David" w:cs="David"/>
          <w:sz w:val="24"/>
          <w:szCs w:val="24"/>
          <w:rtl/>
        </w:rPr>
        <w:t>להלן יפורטו הקביעות האופרטיביות בהחלטה זו.</w:t>
      </w:r>
    </w:p>
    <w:p w:rsidR="000B74E6" w:rsidRDefault="000B74E6" w:rsidP="000B74E6">
      <w:pPr>
        <w:pStyle w:val="P00"/>
        <w:spacing w:before="0" w:line="360" w:lineRule="auto"/>
        <w:ind w:left="-150"/>
        <w:rPr>
          <w:rFonts w:ascii="David" w:hAnsi="David" w:cs="David"/>
          <w:sz w:val="24"/>
          <w:szCs w:val="24"/>
          <w:rtl/>
        </w:rPr>
      </w:pPr>
    </w:p>
    <w:p w:rsidR="000B74E6" w:rsidRDefault="000B74E6" w:rsidP="0007773C">
      <w:pPr>
        <w:pStyle w:val="P00"/>
        <w:numPr>
          <w:ilvl w:val="0"/>
          <w:numId w:val="1"/>
        </w:numPr>
        <w:spacing w:before="0" w:line="360" w:lineRule="auto"/>
        <w:ind w:left="360" w:hanging="510"/>
        <w:rPr>
          <w:rFonts w:ascii="David" w:hAnsi="David" w:cs="David"/>
          <w:sz w:val="24"/>
          <w:szCs w:val="24"/>
          <w:rtl/>
        </w:rPr>
      </w:pPr>
      <w:r>
        <w:rPr>
          <w:rFonts w:ascii="David" w:hAnsi="David" w:cs="David"/>
          <w:sz w:val="24"/>
          <w:szCs w:val="24"/>
          <w:rtl/>
        </w:rPr>
        <w:t xml:space="preserve">טענת החסינות השיפוטית </w:t>
      </w:r>
      <w:r w:rsidR="0007773C">
        <w:rPr>
          <w:rFonts w:ascii="David" w:hAnsi="David" w:cs="David" w:hint="cs"/>
          <w:sz w:val="24"/>
          <w:szCs w:val="24"/>
          <w:rtl/>
        </w:rPr>
        <w:t>התקבלה</w:t>
      </w:r>
      <w:r>
        <w:rPr>
          <w:rFonts w:ascii="David" w:hAnsi="David" w:cs="David"/>
          <w:sz w:val="24"/>
          <w:szCs w:val="24"/>
          <w:rtl/>
        </w:rPr>
        <w:t xml:space="preserve"> לגבי הטענות המופנות אל החלטותיה של הוועדה הרפואית לערעורים שבענף נפגעי עבודה, בדבר אי מתן אפשרות למלווה להיות נוכח בעת בדיקת המבוטח על ידי הוועדה הנ"ל.</w:t>
      </w:r>
    </w:p>
    <w:p w:rsidR="000B74E6" w:rsidRDefault="000B74E6" w:rsidP="000B74E6">
      <w:pPr>
        <w:pStyle w:val="P00"/>
        <w:spacing w:before="0" w:line="360" w:lineRule="auto"/>
        <w:ind w:left="-150"/>
        <w:rPr>
          <w:rFonts w:ascii="David" w:hAnsi="David" w:cs="David"/>
          <w:sz w:val="24"/>
          <w:szCs w:val="24"/>
          <w:rtl/>
        </w:rPr>
      </w:pPr>
    </w:p>
    <w:p w:rsidR="000B74E6" w:rsidRDefault="000B74E6" w:rsidP="0007773C">
      <w:pPr>
        <w:pStyle w:val="P00"/>
        <w:numPr>
          <w:ilvl w:val="0"/>
          <w:numId w:val="1"/>
        </w:numPr>
        <w:spacing w:before="0" w:line="350" w:lineRule="exact"/>
        <w:ind w:left="360" w:hanging="510"/>
        <w:rPr>
          <w:rFonts w:ascii="David" w:hAnsi="David" w:cs="David"/>
          <w:sz w:val="24"/>
          <w:szCs w:val="24"/>
          <w:rtl/>
        </w:rPr>
      </w:pPr>
      <w:r>
        <w:rPr>
          <w:rFonts w:ascii="David" w:hAnsi="David" w:cs="David"/>
          <w:sz w:val="24"/>
          <w:szCs w:val="24"/>
          <w:rtl/>
        </w:rPr>
        <w:t xml:space="preserve">טענת החסינות השיפוטית לא נבחנה לגבי יתר הוועדות הרפואיות הקשורות לביטוח הלאומי, </w:t>
      </w:r>
      <w:r>
        <w:rPr>
          <w:rFonts w:ascii="David" w:hAnsi="David" w:cs="David"/>
          <w:sz w:val="24"/>
          <w:szCs w:val="24"/>
          <w:rtl/>
        </w:rPr>
        <w:lastRenderedPageBreak/>
        <w:t>מהטעמים שהוסברו בגוף ההחלטה.</w:t>
      </w:r>
    </w:p>
    <w:p w:rsidR="000B74E6" w:rsidRDefault="000B74E6" w:rsidP="0007773C">
      <w:pPr>
        <w:pStyle w:val="ad"/>
        <w:spacing w:after="0" w:line="350" w:lineRule="exact"/>
        <w:rPr>
          <w:rFonts w:ascii="David" w:hAnsi="David" w:cs="David"/>
          <w:sz w:val="24"/>
          <w:szCs w:val="24"/>
        </w:rPr>
      </w:pPr>
    </w:p>
    <w:p w:rsidR="000B74E6" w:rsidRDefault="000B74E6" w:rsidP="0007773C">
      <w:pPr>
        <w:pStyle w:val="P00"/>
        <w:numPr>
          <w:ilvl w:val="0"/>
          <w:numId w:val="1"/>
        </w:numPr>
        <w:spacing w:before="0" w:line="350" w:lineRule="exact"/>
        <w:ind w:left="360" w:hanging="510"/>
        <w:rPr>
          <w:rFonts w:ascii="David" w:hAnsi="David" w:cs="David"/>
          <w:sz w:val="24"/>
          <w:szCs w:val="24"/>
          <w:rtl/>
        </w:rPr>
      </w:pPr>
      <w:r>
        <w:rPr>
          <w:rFonts w:ascii="David" w:hAnsi="David" w:cs="David"/>
          <w:sz w:val="24"/>
          <w:szCs w:val="24"/>
          <w:rtl/>
        </w:rPr>
        <w:t>טענת העדר היריבות "הטהורה" בין המוסד לבין חברי הקבוצה לא התקבלה כטענת סף.</w:t>
      </w:r>
    </w:p>
    <w:p w:rsidR="000B74E6" w:rsidRDefault="000B74E6" w:rsidP="0007773C">
      <w:pPr>
        <w:pStyle w:val="P00"/>
        <w:spacing w:before="0" w:line="350" w:lineRule="exact"/>
        <w:ind w:left="360"/>
        <w:rPr>
          <w:rFonts w:ascii="David" w:hAnsi="David" w:cs="David"/>
          <w:sz w:val="24"/>
          <w:szCs w:val="24"/>
        </w:rPr>
      </w:pPr>
    </w:p>
    <w:p w:rsidR="000B74E6" w:rsidRDefault="000B74E6" w:rsidP="0007773C">
      <w:pPr>
        <w:pStyle w:val="P00"/>
        <w:numPr>
          <w:ilvl w:val="0"/>
          <w:numId w:val="1"/>
        </w:numPr>
        <w:spacing w:before="0" w:line="350" w:lineRule="exact"/>
        <w:ind w:left="360" w:hanging="510"/>
        <w:rPr>
          <w:rFonts w:ascii="David" w:hAnsi="David" w:cs="David"/>
          <w:sz w:val="24"/>
          <w:szCs w:val="24"/>
        </w:rPr>
      </w:pPr>
      <w:r>
        <w:rPr>
          <w:rFonts w:ascii="David" w:hAnsi="David" w:cs="David"/>
          <w:sz w:val="24"/>
          <w:szCs w:val="24"/>
          <w:rtl/>
        </w:rPr>
        <w:t>טענות נוספות שנטענו בבקשת הסילוק (העדר סמכות עניינית, התיישנות והעדר אפשרות להגיש תובענה ייצוגית נגד רשות (המוסד) בכובעה ככזאת אלא רק לפי פרט 11 לתוספת השנייה בחוק תובענות ייצוגיות) – נדחו.</w:t>
      </w:r>
    </w:p>
    <w:p w:rsidR="000B74E6" w:rsidRDefault="000B74E6" w:rsidP="0007773C">
      <w:pPr>
        <w:pStyle w:val="P00"/>
        <w:spacing w:before="0" w:line="350" w:lineRule="exact"/>
        <w:ind w:left="360"/>
        <w:rPr>
          <w:rFonts w:ascii="David" w:hAnsi="David" w:cs="David"/>
          <w:sz w:val="24"/>
          <w:szCs w:val="24"/>
        </w:rPr>
      </w:pPr>
    </w:p>
    <w:p w:rsidR="000B74E6" w:rsidRDefault="000B74E6" w:rsidP="0007773C">
      <w:pPr>
        <w:pStyle w:val="P00"/>
        <w:numPr>
          <w:ilvl w:val="0"/>
          <w:numId w:val="1"/>
        </w:numPr>
        <w:spacing w:before="0" w:line="350" w:lineRule="exact"/>
        <w:ind w:left="360" w:hanging="510"/>
        <w:rPr>
          <w:rFonts w:ascii="David" w:hAnsi="David" w:cs="David"/>
          <w:sz w:val="24"/>
          <w:szCs w:val="24"/>
          <w:rtl/>
        </w:rPr>
      </w:pPr>
      <w:r>
        <w:rPr>
          <w:rFonts w:ascii="David" w:hAnsi="David" w:cs="David"/>
          <w:sz w:val="24"/>
          <w:szCs w:val="24"/>
          <w:rtl/>
        </w:rPr>
        <w:t>באשר לטענות השילוט שבבקשת האישור, אין מקום לסלק את התביעה בעילה זו על הסף, נוכח הקביעות בדבר היות המוסד בעל הדין הנכון בעניין זה, אך כאמור לעיל, המבקשת נעדרת עילה אישית באשר לטענות אלה.</w:t>
      </w:r>
    </w:p>
    <w:p w:rsidR="000B74E6" w:rsidRDefault="000B74E6" w:rsidP="0007773C">
      <w:pPr>
        <w:pStyle w:val="P00"/>
        <w:spacing w:before="0" w:line="350" w:lineRule="exact"/>
        <w:ind w:left="360"/>
        <w:rPr>
          <w:rFonts w:ascii="David" w:hAnsi="David" w:cs="David"/>
          <w:sz w:val="24"/>
          <w:szCs w:val="24"/>
          <w:rtl/>
        </w:rPr>
      </w:pPr>
    </w:p>
    <w:p w:rsidR="000B74E6" w:rsidRDefault="000B74E6" w:rsidP="0007773C">
      <w:pPr>
        <w:pStyle w:val="P00"/>
        <w:numPr>
          <w:ilvl w:val="0"/>
          <w:numId w:val="1"/>
        </w:numPr>
        <w:spacing w:before="0" w:line="350" w:lineRule="exact"/>
        <w:ind w:left="360" w:hanging="510"/>
        <w:rPr>
          <w:rFonts w:ascii="David" w:hAnsi="David" w:cs="David"/>
          <w:sz w:val="24"/>
          <w:szCs w:val="24"/>
        </w:rPr>
      </w:pPr>
      <w:r>
        <w:rPr>
          <w:rFonts w:ascii="David" w:hAnsi="David" w:cs="David"/>
          <w:sz w:val="24"/>
          <w:szCs w:val="24"/>
          <w:rtl/>
        </w:rPr>
        <w:t>עילת התביעה האישית היחידה הקיימת למבקשת, היא לגבי החלטות הוועדה הרפואית לערעורים בענף נפגעי עבודה, שלגביהן התקבלה טענת החסינות השיפוטית. לפיכך, נותרה המבקשת ללא עילת תביעה אישית.</w:t>
      </w:r>
    </w:p>
    <w:p w:rsidR="000B74E6" w:rsidRDefault="000B74E6" w:rsidP="0007773C">
      <w:pPr>
        <w:pStyle w:val="P00"/>
        <w:spacing w:before="0" w:line="350" w:lineRule="exact"/>
        <w:ind w:left="360"/>
        <w:rPr>
          <w:rFonts w:ascii="David" w:hAnsi="David" w:cs="David"/>
          <w:sz w:val="24"/>
          <w:szCs w:val="24"/>
        </w:rPr>
      </w:pPr>
      <w:r>
        <w:rPr>
          <w:rFonts w:ascii="David" w:hAnsi="David" w:cs="David"/>
          <w:sz w:val="24"/>
          <w:szCs w:val="24"/>
          <w:rtl/>
        </w:rPr>
        <w:t>להעדר עילה אישית קיימות כמובן השלכות לגבי המשך התנהלותה של בקשת האישור, אך מאחר שהעדר עילה אישית לא נטען כטענת סף, לא השמיעו הצדדים את טענותיהם בעניין זה, ומובן שאין בשלב זה אפשרות כלשהי לקבל החלטה לגביו.</w:t>
      </w:r>
    </w:p>
    <w:p w:rsidR="000B74E6" w:rsidRDefault="000B74E6" w:rsidP="0007773C">
      <w:pPr>
        <w:pStyle w:val="P00"/>
        <w:spacing w:before="0" w:line="350" w:lineRule="exact"/>
        <w:ind w:left="360"/>
        <w:rPr>
          <w:rFonts w:ascii="David" w:hAnsi="David" w:cs="David"/>
          <w:sz w:val="24"/>
          <w:szCs w:val="24"/>
          <w:rtl/>
        </w:rPr>
      </w:pPr>
      <w:r>
        <w:rPr>
          <w:rFonts w:ascii="David" w:hAnsi="David" w:cs="David"/>
          <w:sz w:val="24"/>
          <w:szCs w:val="24"/>
          <w:rtl/>
        </w:rPr>
        <w:t>המותב אשר יוסיף לטפל בתיק זה עקב סיום כהונתי, יידרש לשאלה זו.</w:t>
      </w:r>
    </w:p>
    <w:p w:rsidR="000B74E6" w:rsidRDefault="000B74E6" w:rsidP="0007773C">
      <w:pPr>
        <w:pStyle w:val="P00"/>
        <w:spacing w:before="0" w:line="350" w:lineRule="exact"/>
        <w:ind w:left="360"/>
        <w:rPr>
          <w:rFonts w:ascii="David" w:hAnsi="David" w:cs="David"/>
          <w:sz w:val="24"/>
          <w:szCs w:val="24"/>
        </w:rPr>
      </w:pPr>
    </w:p>
    <w:p w:rsidR="000B74E6" w:rsidRDefault="000B74E6" w:rsidP="0007773C">
      <w:pPr>
        <w:pStyle w:val="P00"/>
        <w:numPr>
          <w:ilvl w:val="0"/>
          <w:numId w:val="1"/>
        </w:numPr>
        <w:spacing w:before="0" w:line="350" w:lineRule="exact"/>
        <w:ind w:left="360" w:hanging="510"/>
        <w:rPr>
          <w:rFonts w:ascii="David" w:hAnsi="David" w:cs="David"/>
          <w:sz w:val="24"/>
          <w:szCs w:val="24"/>
          <w:rtl/>
        </w:rPr>
      </w:pPr>
      <w:r>
        <w:rPr>
          <w:rFonts w:ascii="David" w:hAnsi="David" w:cs="David"/>
          <w:sz w:val="24"/>
          <w:szCs w:val="24"/>
          <w:rtl/>
        </w:rPr>
        <w:t>התקבלה בקשת המבקשת לצירוף ראיה (סעיף 79 לעיל).</w:t>
      </w:r>
    </w:p>
    <w:p w:rsidR="000B74E6" w:rsidRDefault="000B74E6" w:rsidP="0007773C">
      <w:pPr>
        <w:pStyle w:val="P00"/>
        <w:spacing w:before="0" w:line="350" w:lineRule="exact"/>
        <w:ind w:left="360"/>
        <w:rPr>
          <w:rFonts w:ascii="David" w:hAnsi="David" w:cs="David"/>
          <w:sz w:val="24"/>
          <w:szCs w:val="24"/>
          <w:rtl/>
        </w:rPr>
      </w:pPr>
    </w:p>
    <w:p w:rsidR="000B74E6" w:rsidRDefault="000B74E6" w:rsidP="0007773C">
      <w:pPr>
        <w:pStyle w:val="P00"/>
        <w:numPr>
          <w:ilvl w:val="0"/>
          <w:numId w:val="1"/>
        </w:numPr>
        <w:spacing w:before="0" w:line="350" w:lineRule="exact"/>
        <w:ind w:left="360" w:hanging="510"/>
        <w:rPr>
          <w:rFonts w:ascii="David" w:hAnsi="David" w:cs="David"/>
          <w:sz w:val="24"/>
          <w:szCs w:val="24"/>
          <w:rtl/>
        </w:rPr>
      </w:pPr>
      <w:r>
        <w:rPr>
          <w:rFonts w:ascii="David" w:hAnsi="David" w:cs="David"/>
          <w:sz w:val="24"/>
          <w:szCs w:val="24"/>
          <w:rtl/>
        </w:rPr>
        <w:t>אוסיף כי אין צורך לומר, כי ההתנהלות הלכאורית של הוועדה לערעורים כפי שהיא מתוארת בסוגיה מושא בקשת האישור אינה תקינה. עם זאת, נקבע לעיל כי לוועדה לערעורים ולחבריה קיימת חסינות שיפוטית לגבי ההחלטות שניתנו על ידי הוועדה, וזו עומדת גם לגופים כגון המשיב, אפילו היה נקבע כי הוא היריב הנכון בבקשת האישור (עניין היריבות "הטהורה" לא הוכרע נוכח קבלת טענת החסינות השיפוטית).</w:t>
      </w:r>
    </w:p>
    <w:p w:rsidR="000B74E6" w:rsidRDefault="000B74E6" w:rsidP="0007773C">
      <w:pPr>
        <w:pStyle w:val="P00"/>
        <w:spacing w:before="0" w:line="350" w:lineRule="exact"/>
        <w:ind w:left="360"/>
        <w:rPr>
          <w:rFonts w:ascii="David" w:hAnsi="David" w:cs="David"/>
          <w:sz w:val="24"/>
          <w:szCs w:val="24"/>
          <w:rtl/>
        </w:rPr>
      </w:pPr>
    </w:p>
    <w:p w:rsidR="000B74E6" w:rsidRDefault="000B74E6" w:rsidP="0036252F">
      <w:pPr>
        <w:pStyle w:val="P00"/>
        <w:numPr>
          <w:ilvl w:val="0"/>
          <w:numId w:val="1"/>
        </w:numPr>
        <w:spacing w:before="0" w:line="350" w:lineRule="exact"/>
        <w:ind w:left="360" w:hanging="510"/>
        <w:rPr>
          <w:rFonts w:ascii="David" w:hAnsi="David" w:cs="David"/>
          <w:sz w:val="24"/>
          <w:szCs w:val="24"/>
        </w:rPr>
      </w:pPr>
      <w:r>
        <w:rPr>
          <w:rFonts w:ascii="David" w:hAnsi="David" w:cs="David"/>
          <w:sz w:val="24"/>
          <w:szCs w:val="24"/>
          <w:rtl/>
        </w:rPr>
        <w:t>לאור תוצאות החלטה זו, לא מצאתי כי יש מקום לעשות צו להוצאות.</w:t>
      </w:r>
    </w:p>
    <w:p w:rsidR="00296FD6" w:rsidRDefault="00296FD6">
      <w:pPr>
        <w:bidi w:val="0"/>
        <w:rPr>
          <w:rFonts w:ascii="David" w:eastAsiaTheme="minorHAnsi" w:hAnsi="David"/>
          <w:noProof w:val="0"/>
          <w:rtl/>
        </w:rPr>
      </w:pPr>
      <w:r>
        <w:rPr>
          <w:rFonts w:ascii="David" w:eastAsiaTheme="minorHAnsi" w:hAnsi="David"/>
          <w:noProof w:val="0"/>
          <w:rtl/>
        </w:rPr>
        <w:br w:type="page"/>
      </w:r>
    </w:p>
    <w:p w:rsidR="00296FD6" w:rsidRDefault="00296FD6" w:rsidP="00296FD6">
      <w:pPr>
        <w:pStyle w:val="P00"/>
        <w:spacing w:before="0" w:line="350" w:lineRule="exact"/>
        <w:ind w:left="360"/>
        <w:rPr>
          <w:rFonts w:ascii="David" w:hAnsi="David" w:cs="David"/>
          <w:sz w:val="24"/>
          <w:szCs w:val="24"/>
          <w:rtl/>
        </w:rPr>
      </w:pPr>
    </w:p>
    <w:p w:rsidR="00296FD6" w:rsidRDefault="00296FD6" w:rsidP="00296FD6">
      <w:pPr>
        <w:pStyle w:val="P00"/>
        <w:numPr>
          <w:ilvl w:val="0"/>
          <w:numId w:val="1"/>
        </w:numPr>
        <w:spacing w:before="0" w:line="350" w:lineRule="exact"/>
        <w:ind w:left="360" w:hanging="510"/>
        <w:rPr>
          <w:rFonts w:ascii="David" w:hAnsi="David" w:cs="David"/>
          <w:sz w:val="24"/>
          <w:szCs w:val="24"/>
        </w:rPr>
      </w:pPr>
      <w:r>
        <w:rPr>
          <w:rFonts w:ascii="David" w:hAnsi="David" w:cs="David" w:hint="cs"/>
          <w:sz w:val="24"/>
          <w:szCs w:val="24"/>
          <w:rtl/>
        </w:rPr>
        <w:t>שמה ופרטיה של המבקשת חסויים, אך מאחר שהחלטה זו אינה כוללת פרטים אלה, מותרת היא בפרסום.</w:t>
      </w:r>
    </w:p>
    <w:p w:rsidR="00694556" w:rsidRPr="00B95D6E" w:rsidRDefault="00694556" w:rsidP="0007773C">
      <w:pPr>
        <w:spacing w:line="350" w:lineRule="exact"/>
        <w:jc w:val="both"/>
        <w:rPr>
          <w:rFonts w:ascii="Arial" w:hAnsi="Arial"/>
          <w:noProof w:val="0"/>
          <w:rtl/>
        </w:rPr>
      </w:pPr>
    </w:p>
    <w:p w:rsidR="00694556" w:rsidRDefault="0043502B" w:rsidP="0007773C">
      <w:pPr>
        <w:spacing w:line="350" w:lineRule="exact"/>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כ"ז ניסן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05 מאי 2024</w:t>
          </w:r>
        </w:sdtContent>
      </w:sdt>
      <w:r w:rsidR="00005C8B">
        <w:rPr>
          <w:rFonts w:ascii="Arial" w:hAnsi="Arial"/>
          <w:noProof w:val="0"/>
          <w:rtl/>
        </w:rPr>
        <w:t>, בהעדר הצדדים.</w:t>
      </w:r>
    </w:p>
    <w:p w:rsidR="00C43648" w:rsidRDefault="00A832F0" w:rsidP="0007773C">
      <w:pPr>
        <w:tabs>
          <w:tab w:val="left" w:pos="2553"/>
        </w:tabs>
        <w:spacing w:line="350" w:lineRule="exact"/>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07773C" w:rsidRPr="007D335A" w:rsidRDefault="00BD6531" w:rsidP="0007773C">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640576897"/>
        </w:sdtPr>
        <w:sdtEndPr/>
        <w:sdtContent>
          <w:r w:rsidR="00A832F0">
            <w:drawing>
              <wp:inline distT="0" distB="0" distL="0" distR="0" wp14:editId="50D07946">
                <wp:extent cx="1312164" cy="63550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1" cstate="print">
                          <a:extLst/>
                        </a:blip>
                        <a:stretch>
                          <a:fillRect/>
                        </a:stretch>
                      </pic:blipFill>
                      <pic:spPr>
                        <a:xfrm>
                          <a:off x="0" y="0"/>
                          <a:ext cx="1312164" cy="635508"/>
                        </a:xfrm>
                        <a:prstGeom prst="rect">
                          <a:avLst/>
                        </a:prstGeom>
                      </pic:spPr>
                    </pic:pic>
                  </a:graphicData>
                </a:graphic>
              </wp:inline>
            </w:drawing>
          </w:r>
        </w:sdtContent>
      </w:sdt>
    </w:p>
    <w:p w:rsidR="0007773C" w:rsidRPr="007D335A" w:rsidRDefault="0007773C" w:rsidP="0007773C">
      <w:pPr>
        <w:tabs>
          <w:tab w:val="left" w:pos="2553"/>
        </w:tabs>
        <w:rPr>
          <w:rtl/>
        </w:rPr>
      </w:pPr>
    </w:p>
    <w:sectPr w:rsidR="0007773C" w:rsidRPr="007D335A" w:rsidSect="00891F42">
      <w:headerReference w:type="even" r:id="rId12"/>
      <w:headerReference w:type="default" r:id="rId13"/>
      <w:footerReference w:type="even" r:id="rId14"/>
      <w:footerReference w:type="default" r:id="rId15"/>
      <w:headerReference w:type="first" r:id="rId16"/>
      <w:footerReference w:type="first" r:id="rId17"/>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32F0" w:rsidRDefault="00A832F0">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E765F7" w:rsidRDefault="000C3B60">
    <w:pPr>
      <w:pStyle w:val="a4"/>
      <w:jc w:val="center"/>
      <w:rPr>
        <w:rStyle w:val="ab"/>
        <w:rFonts w:ascii="David" w:hAnsi="David"/>
      </w:rPr>
    </w:pPr>
    <w:r w:rsidRPr="00E765F7">
      <w:rPr>
        <w:rStyle w:val="ab"/>
        <w:rFonts w:ascii="David" w:hAnsi="David"/>
      </w:rPr>
      <w:fldChar w:fldCharType="begin"/>
    </w:r>
    <w:r w:rsidR="00005C8B" w:rsidRPr="00E765F7">
      <w:rPr>
        <w:rStyle w:val="ab"/>
        <w:rFonts w:ascii="David" w:hAnsi="David"/>
      </w:rPr>
      <w:instrText xml:space="preserve"> PAGE </w:instrText>
    </w:r>
    <w:r w:rsidRPr="00E765F7">
      <w:rPr>
        <w:rStyle w:val="ab"/>
        <w:rFonts w:ascii="David" w:hAnsi="David"/>
      </w:rPr>
      <w:fldChar w:fldCharType="separate"/>
    </w:r>
    <w:r w:rsidR="00A832F0">
      <w:rPr>
        <w:rStyle w:val="ab"/>
        <w:rFonts w:ascii="David" w:hAnsi="David"/>
        <w:rtl/>
      </w:rPr>
      <w:t>1</w:t>
    </w:r>
    <w:r w:rsidRPr="00E765F7">
      <w:rPr>
        <w:rStyle w:val="ab"/>
        <w:rFonts w:ascii="David" w:hAnsi="David"/>
      </w:rPr>
      <w:fldChar w:fldCharType="end"/>
    </w:r>
    <w:r w:rsidR="00005C8B" w:rsidRPr="00E765F7">
      <w:rPr>
        <w:rStyle w:val="ab"/>
        <w:rFonts w:ascii="David" w:hAnsi="David"/>
        <w:rtl/>
      </w:rPr>
      <w:t xml:space="preserve"> מתוך </w:t>
    </w:r>
    <w:r w:rsidRPr="00E765F7">
      <w:rPr>
        <w:rStyle w:val="ab"/>
        <w:rFonts w:ascii="David" w:hAnsi="David"/>
      </w:rPr>
      <w:fldChar w:fldCharType="begin"/>
    </w:r>
    <w:r w:rsidR="00005C8B" w:rsidRPr="00E765F7">
      <w:rPr>
        <w:rStyle w:val="ab"/>
        <w:rFonts w:ascii="David" w:hAnsi="David"/>
      </w:rPr>
      <w:instrText xml:space="preserve"> NUMPAGES </w:instrText>
    </w:r>
    <w:r w:rsidRPr="00E765F7">
      <w:rPr>
        <w:rStyle w:val="ab"/>
        <w:rFonts w:ascii="David" w:hAnsi="David"/>
      </w:rPr>
      <w:fldChar w:fldCharType="separate"/>
    </w:r>
    <w:r w:rsidR="00A832F0">
      <w:rPr>
        <w:rStyle w:val="ab"/>
        <w:rFonts w:ascii="David" w:hAnsi="David"/>
        <w:rtl/>
      </w:rPr>
      <w:t>29</w:t>
    </w:r>
    <w:r w:rsidRPr="00E765F7">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32F0" w:rsidRDefault="00A832F0">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32F0" w:rsidRDefault="00A832F0">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3"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מרכז-לוד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A832F0" w:rsidP="004E607F">
          <w:pPr>
            <w:rPr>
              <w:b/>
              <w:bCs/>
              <w:noProof w:val="0"/>
              <w:sz w:val="26"/>
              <w:szCs w:val="26"/>
              <w:rtl/>
            </w:rPr>
          </w:pPr>
          <w:sdt>
            <w:sdtPr>
              <w:rPr>
                <w:rtl/>
              </w:rPr>
              <w:alias w:val="1170"/>
              <w:tag w:val="1170"/>
              <w:id w:val="1066377040"/>
              <w:text w:multiLine="1"/>
            </w:sdtPr>
            <w:sdtEndPr/>
            <w:sdtContent>
              <w:r w:rsidR="00E765F7">
                <w:rPr>
                  <w:b/>
                  <w:bCs/>
                  <w:noProof w:val="0"/>
                  <w:sz w:val="26"/>
                  <w:szCs w:val="26"/>
                  <w:rtl/>
                </w:rPr>
                <w:t>ת"צ</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E765F7">
                <w:rPr>
                  <w:b/>
                  <w:bCs/>
                  <w:noProof w:val="0"/>
                  <w:sz w:val="26"/>
                  <w:szCs w:val="26"/>
                  <w:rtl/>
                </w:rPr>
                <w:t>38746-08-17</w:t>
              </w:r>
            </w:sdtContent>
          </w:sdt>
          <w:bookmarkEnd w:id="1"/>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4E607F">
                <w:rPr>
                  <w:rFonts w:hint="cs"/>
                  <w:b/>
                  <w:bCs/>
                  <w:noProof w:val="0"/>
                  <w:sz w:val="26"/>
                  <w:szCs w:val="26"/>
                  <w:rtl/>
                </w:rPr>
                <w:t>פלונית</w:t>
              </w:r>
              <w:r w:rsidR="00E765F7">
                <w:rPr>
                  <w:b/>
                  <w:bCs/>
                  <w:noProof w:val="0"/>
                  <w:sz w:val="26"/>
                  <w:szCs w:val="26"/>
                  <w:rtl/>
                </w:rPr>
                <w:t xml:space="preserve"> נ' המוסד לביטוח לאומי</w:t>
              </w:r>
            </w:sdtContent>
          </w:sdt>
          <w:r w:rsidR="00CD516B">
            <w:rPr>
              <w:b/>
              <w:bCs/>
              <w:noProof w:val="0"/>
              <w:sz w:val="26"/>
              <w:szCs w:val="26"/>
              <w:rtl/>
            </w:rPr>
            <w:t xml:space="preserve"> </w:t>
          </w:r>
        </w:p>
        <w:p w:rsidR="007D45E3" w:rsidRPr="007B7765" w:rsidRDefault="007D45E3" w:rsidP="007D45E3">
          <w:pPr>
            <w:rPr>
              <w:b/>
              <w:bCs/>
              <w:noProof w:val="0"/>
              <w:sz w:val="2"/>
              <w:szCs w:val="2"/>
              <w:rtl/>
            </w:rPr>
          </w:pPr>
        </w:p>
        <w:p w:rsidR="008D10B2" w:rsidRPr="00E1068A" w:rsidRDefault="007D45E3" w:rsidP="000B74E6">
          <w:pPr>
            <w:rPr>
              <w:sz w:val="20"/>
              <w:szCs w:val="20"/>
              <w:rtl/>
            </w:rPr>
          </w:pPr>
          <w:r>
            <w:rPr>
              <w:rFonts w:hint="cs"/>
              <w:rtl/>
            </w:rPr>
            <w:t xml:space="preserve">                           </w:t>
          </w:r>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32F0" w:rsidRDefault="00A832F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D29AD"/>
    <w:multiLevelType w:val="hybridMultilevel"/>
    <w:tmpl w:val="915A9B9A"/>
    <w:lvl w:ilvl="0" w:tplc="5276CADA">
      <w:start w:val="1"/>
      <w:numFmt w:val="hebrew1"/>
      <w:lvlText w:val="%1."/>
      <w:lvlJc w:val="left"/>
      <w:pPr>
        <w:ind w:left="700" w:hanging="360"/>
      </w:pPr>
    </w:lvl>
    <w:lvl w:ilvl="1" w:tplc="04090019">
      <w:start w:val="1"/>
      <w:numFmt w:val="lowerLetter"/>
      <w:lvlText w:val="%2."/>
      <w:lvlJc w:val="left"/>
      <w:pPr>
        <w:ind w:left="1420" w:hanging="360"/>
      </w:pPr>
    </w:lvl>
    <w:lvl w:ilvl="2" w:tplc="0409001B">
      <w:start w:val="1"/>
      <w:numFmt w:val="lowerRoman"/>
      <w:lvlText w:val="%3."/>
      <w:lvlJc w:val="right"/>
      <w:pPr>
        <w:ind w:left="2140" w:hanging="180"/>
      </w:pPr>
    </w:lvl>
    <w:lvl w:ilvl="3" w:tplc="0409000F">
      <w:start w:val="1"/>
      <w:numFmt w:val="decimal"/>
      <w:lvlText w:val="%4."/>
      <w:lvlJc w:val="left"/>
      <w:pPr>
        <w:ind w:left="2860" w:hanging="360"/>
      </w:pPr>
    </w:lvl>
    <w:lvl w:ilvl="4" w:tplc="04090019">
      <w:start w:val="1"/>
      <w:numFmt w:val="lowerLetter"/>
      <w:lvlText w:val="%5."/>
      <w:lvlJc w:val="left"/>
      <w:pPr>
        <w:ind w:left="3580" w:hanging="360"/>
      </w:pPr>
    </w:lvl>
    <w:lvl w:ilvl="5" w:tplc="0409001B">
      <w:start w:val="1"/>
      <w:numFmt w:val="lowerRoman"/>
      <w:lvlText w:val="%6."/>
      <w:lvlJc w:val="right"/>
      <w:pPr>
        <w:ind w:left="4300" w:hanging="180"/>
      </w:pPr>
    </w:lvl>
    <w:lvl w:ilvl="6" w:tplc="0409000F">
      <w:start w:val="1"/>
      <w:numFmt w:val="decimal"/>
      <w:lvlText w:val="%7."/>
      <w:lvlJc w:val="left"/>
      <w:pPr>
        <w:ind w:left="5020" w:hanging="360"/>
      </w:pPr>
    </w:lvl>
    <w:lvl w:ilvl="7" w:tplc="04090019">
      <w:start w:val="1"/>
      <w:numFmt w:val="lowerLetter"/>
      <w:lvlText w:val="%8."/>
      <w:lvlJc w:val="left"/>
      <w:pPr>
        <w:ind w:left="5740" w:hanging="360"/>
      </w:pPr>
    </w:lvl>
    <w:lvl w:ilvl="8" w:tplc="0409001B">
      <w:start w:val="1"/>
      <w:numFmt w:val="lowerRoman"/>
      <w:lvlText w:val="%9."/>
      <w:lvlJc w:val="right"/>
      <w:pPr>
        <w:ind w:left="6460" w:hanging="180"/>
      </w:pPr>
    </w:lvl>
  </w:abstractNum>
  <w:abstractNum w:abstractNumId="1" w15:restartNumberingAfterBreak="0">
    <w:nsid w:val="3F030CD8"/>
    <w:multiLevelType w:val="hybridMultilevel"/>
    <w:tmpl w:val="6E38D6EA"/>
    <w:lvl w:ilvl="0" w:tplc="9C46A0B2">
      <w:start w:val="1"/>
      <w:numFmt w:val="hebrew1"/>
      <w:lvlText w:val="%1."/>
      <w:lvlJc w:val="left"/>
      <w:pPr>
        <w:ind w:left="700" w:hanging="360"/>
      </w:pPr>
    </w:lvl>
    <w:lvl w:ilvl="1" w:tplc="04090019">
      <w:start w:val="1"/>
      <w:numFmt w:val="lowerLetter"/>
      <w:lvlText w:val="%2."/>
      <w:lvlJc w:val="left"/>
      <w:pPr>
        <w:ind w:left="1420" w:hanging="360"/>
      </w:pPr>
    </w:lvl>
    <w:lvl w:ilvl="2" w:tplc="0409001B">
      <w:start w:val="1"/>
      <w:numFmt w:val="lowerRoman"/>
      <w:lvlText w:val="%3."/>
      <w:lvlJc w:val="right"/>
      <w:pPr>
        <w:ind w:left="2140" w:hanging="180"/>
      </w:pPr>
    </w:lvl>
    <w:lvl w:ilvl="3" w:tplc="0409000F">
      <w:start w:val="1"/>
      <w:numFmt w:val="decimal"/>
      <w:lvlText w:val="%4."/>
      <w:lvlJc w:val="left"/>
      <w:pPr>
        <w:ind w:left="2860" w:hanging="360"/>
      </w:pPr>
    </w:lvl>
    <w:lvl w:ilvl="4" w:tplc="04090019">
      <w:start w:val="1"/>
      <w:numFmt w:val="lowerLetter"/>
      <w:lvlText w:val="%5."/>
      <w:lvlJc w:val="left"/>
      <w:pPr>
        <w:ind w:left="3580" w:hanging="360"/>
      </w:pPr>
    </w:lvl>
    <w:lvl w:ilvl="5" w:tplc="0409001B">
      <w:start w:val="1"/>
      <w:numFmt w:val="lowerRoman"/>
      <w:lvlText w:val="%6."/>
      <w:lvlJc w:val="right"/>
      <w:pPr>
        <w:ind w:left="4300" w:hanging="180"/>
      </w:pPr>
    </w:lvl>
    <w:lvl w:ilvl="6" w:tplc="0409000F">
      <w:start w:val="1"/>
      <w:numFmt w:val="decimal"/>
      <w:lvlText w:val="%7."/>
      <w:lvlJc w:val="left"/>
      <w:pPr>
        <w:ind w:left="5020" w:hanging="360"/>
      </w:pPr>
    </w:lvl>
    <w:lvl w:ilvl="7" w:tplc="04090019">
      <w:start w:val="1"/>
      <w:numFmt w:val="lowerLetter"/>
      <w:lvlText w:val="%8."/>
      <w:lvlJc w:val="left"/>
      <w:pPr>
        <w:ind w:left="5740" w:hanging="360"/>
      </w:pPr>
    </w:lvl>
    <w:lvl w:ilvl="8" w:tplc="0409001B">
      <w:start w:val="1"/>
      <w:numFmt w:val="lowerRoman"/>
      <w:lvlText w:val="%9."/>
      <w:lvlJc w:val="right"/>
      <w:pPr>
        <w:ind w:left="6460" w:hanging="180"/>
      </w:pPr>
    </w:lvl>
  </w:abstractNum>
  <w:abstractNum w:abstractNumId="2" w15:restartNumberingAfterBreak="0">
    <w:nsid w:val="7E8F04E9"/>
    <w:multiLevelType w:val="hybridMultilevel"/>
    <w:tmpl w:val="75F4929A"/>
    <w:lvl w:ilvl="0" w:tplc="C596809E">
      <w:start w:val="1"/>
      <w:numFmt w:val="decimal"/>
      <w:lvlText w:val="%1."/>
      <w:lvlJc w:val="left"/>
      <w:pPr>
        <w:ind w:left="720" w:hanging="360"/>
      </w:pPr>
      <w:rPr>
        <w:rFonts w:cs="David"/>
        <w:b/>
        <w:bCs w:val="0"/>
        <w:color w:val="auto"/>
        <w:sz w:val="24"/>
        <w:szCs w:val="24"/>
        <w:lang w:bidi="he-I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16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4767194"/>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4767194&amp;lt;/CaseID&amp;gt;_x000d__x000a_        &amp;lt;CaseMonth&amp;gt;8&amp;lt;/CaseMonth&amp;gt;_x000d__x000a_        &amp;lt;CaseYear&amp;gt;2017&amp;lt;/CaseYear&amp;gt;_x000d__x000a_        &amp;lt;CaseNumber&amp;gt;38746&amp;lt;/CaseNumber&amp;gt;_x000d__x000a_        &amp;lt;NumeratorGroupID&amp;gt;1&amp;lt;/NumeratorGroupID&amp;gt;_x000d__x000a_        &amp;lt;CaseName&amp;gt;אלמונית נ&amp;#39; המוסד לביטוח לאומי ואח&amp;#39;&amp;lt;/CaseName&amp;gt;_x000d__x000a_        &amp;lt;CourtID&amp;gt;896&amp;lt;/CourtID&amp;gt;_x000d__x000a_        &amp;lt;CaseTypeID&amp;gt;10036&amp;lt;/CaseTypeID&amp;gt;_x000d__x000a_        &amp;lt;CaseInterestID&amp;gt;44&amp;lt;/CaseInterestID&amp;gt;_x000d__x000a_        &amp;lt;CaseJudgeName&amp;gt;יחזקאל קינר&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2&amp;lt;/PrivilegeID&amp;gt;_x000d__x000a_        &amp;lt;IsAppealingCaseExist&amp;gt;false&amp;lt;/IsAppealingCaseExist&amp;gt;_x000d__x000a_        &amp;lt;CaseDisplayIdentifier&amp;gt;38746-08-17&amp;lt;/CaseDisplayIdentifier&amp;gt;_x000d__x000a_        &amp;lt;CaseTypeDesc&amp;gt;ת&amp;quot;צ&amp;lt;/CaseTypeDesc&amp;gt;_x000d__x000a_        &amp;lt;CourtDesc&amp;gt;המחוזי מרכז &amp;lt;/CourtDesc&amp;gt;_x000d__x000a_        &amp;lt;CaseStageDesc&amp;gt;תיק אלקטרוני&amp;lt;/CaseStageDesc&amp;gt;_x000d__x000a_        &amp;lt;IsUnpaidFeeExist&amp;gt;false&amp;lt;/IsUnpaidFeeExist&amp;gt;_x000d__x000a_        &amp;lt;CaseNextDeterminingTask&amp;gt;142&amp;lt;/CaseNextDeterminingTask&amp;gt;_x000d__x000a_        &amp;lt;CaseOpenDate&amp;gt;2017-08-17T12:08:00+03:00&amp;lt;/CaseOpenDate&amp;gt;_x000d__x000a_        &amp;lt;PleaTypeID&amp;gt;4&amp;lt;/PleaTypeID&amp;gt;_x000d__x000a_        &amp;lt;CourtLevelID&amp;gt;2&amp;lt;/CourtLevelID&amp;gt;_x000d__x000a_        &amp;lt;CourtLevelCaseTypeInterestID&amp;gt;329&amp;lt;/CourtLevelCaseTypeInterestID&amp;gt;_x000d__x000a_        &amp;lt;CaseJudgeFirstName&amp;gt;יחזקאל&amp;lt;/CaseJudgeFirstName&amp;gt;_x000d__x000a_        &amp;lt;CaseJudgeLastName&amp;gt;קינר&amp;lt;/CaseJudgeLastName&amp;gt;_x000d__x000a_        &amp;lt;JudicalPersonID&amp;gt;052286226@GOV.IL&amp;lt;/JudicalPersonID&amp;gt;_x000d__x000a_        &amp;lt;IsJudicalPanel&amp;gt;false&amp;lt;/IsJudicalPanel&amp;gt;_x000d__x000a_        &amp;lt;CourtDisplayName&amp;gt;בית המשפט המחוזי מרכז-לוד&amp;lt;/CourtDisplayName&amp;gt;_x000d__x000a_        &amp;lt;IsAllStartDataCollected&amp;gt;true&amp;lt;/IsAllStartDataCollected&amp;gt;_x000d__x000a_        &amp;lt;CaseDesc&amp;gt;בבקשה שהוגשה ביום 17.8.2017 מופיע שם המבקשת. כולל ת.ז _x000d__x000a_תיק ישן, לא ניתן כרגע לבדוק את כל המסמכים שהוגשו._x000d__x000a_יישאר כחסוי לציבור&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4767194&amp;lt;/CaseID&amp;gt;_x000d__x000a_        &amp;lt;CaseMonth&amp;gt;8&amp;lt;/CaseMonth&amp;gt;_x000d__x000a_        &amp;lt;CaseYear&amp;gt;2017&amp;lt;/CaseYear&amp;gt;_x000d__x000a_        &amp;lt;CaseNumber&amp;gt;38746&amp;lt;/CaseNumber&amp;gt;_x000d__x000a_        &amp;lt;NumeratorGroupID&amp;gt;1&amp;lt;/NumeratorGroupID&amp;gt;_x000d__x000a_        &amp;lt;CaseName&amp;gt;אלמונית נ&amp;#39; המוסד לביטוח לאומי ואח&amp;#39;&amp;lt;/CaseName&amp;gt;_x000d__x000a_        &amp;lt;CourtID&amp;gt;896&amp;lt;/CourtID&amp;gt;_x000d__x000a_        &amp;lt;CaseTypeID&amp;gt;10036&amp;lt;/CaseTypeID&amp;gt;_x000d__x000a_        &amp;lt;CaseInterestID&amp;gt;44&amp;lt;/CaseInterestID&amp;gt;_x000d__x000a_        &amp;lt;CaseJudgeName&amp;gt;יחזקאל קינר&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2&amp;lt;/PrivilegeID&amp;gt;_x000d__x000a_        &amp;lt;IsAppealingCaseExist&amp;gt;false&amp;lt;/IsAppealingCaseExist&amp;gt;_x000d__x000a_        &amp;lt;CaseDisplayIdentifier&amp;gt;38746-08-17&amp;lt;/CaseDisplayIdentifier&amp;gt;_x000d__x000a_        &amp;lt;CaseTypeDesc&amp;gt;ת&amp;quot;צ&amp;lt;/CaseTypeDesc&amp;gt;_x000d__x000a_        &amp;lt;CourtDesc&amp;gt;המחוזי מרכז &amp;lt;/CourtDesc&amp;gt;_x000d__x000a_        &amp;lt;CaseStageDesc&amp;gt;תיק אלקטרוני&amp;lt;/CaseStageDesc&amp;gt;_x000d__x000a_        &amp;lt;CaseNextDeterminingTask&amp;gt;142&amp;lt;/CaseNextDeterminingTask&amp;gt;_x000d__x000a_        &amp;lt;CaseOpenDate&amp;gt;2017-08-17T12:08:00+03:00&amp;lt;/CaseOpenDate&amp;gt;_x000d__x000a_        &amp;lt;PleaTypeID&amp;gt;4&amp;lt;/PleaTypeID&amp;gt;_x000d__x000a_        &amp;lt;CourtLevelID&amp;gt;2&amp;lt;/CourtLevelID&amp;gt;_x000d__x000a_        &amp;lt;CourtLevelCaseTypeInterestID&amp;gt;329&amp;lt;/CourtLevelCaseTypeInterestID&amp;gt;_x000d__x000a_        &amp;lt;CaseJudgeFirstName&amp;gt;יחזקאל&amp;lt;/CaseJudgeFirstName&amp;gt;_x000d__x000a_        &amp;lt;CaseJudgeLastName&amp;gt;קינר&amp;lt;/CaseJudgeLastName&amp;gt;_x000d__x000a_        &amp;lt;JudicalPersonID&amp;gt;052286226@GOV.IL&amp;lt;/JudicalPersonID&amp;gt;_x000d__x000a_        &amp;lt;IsJudicalPanel&amp;gt;false&amp;lt;/IsJudicalPanel&amp;gt;_x000d__x000a_        &amp;lt;CourtDisplayName&amp;gt;בית המשפט המחוזי מרכז-לוד&amp;lt;/CourtDisplayName&amp;gt;_x000d__x000a_        &amp;lt;IsAllStartDataCollected&amp;gt;true&amp;lt;/IsAllStartDataCollected&amp;gt;_x000d__x000a_        &amp;lt;CaseDesc&amp;gt;בבקשה שהוגשה ביום 17.8.2017 מופיע שם המבקשת. כולל ת.ז _x000d__x000a_תיק ישן, לא ניתן כרגע לבדוק את כל המסמכים שהוגשו._x000d__x000a_יישאר כחסוי לציבור&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89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1420332&amp;lt;/DecisionID&amp;gt;_x000d__x000a_        &amp;lt;DecisionName&amp;gt;החלטה  שניתנה ע&amp;quot;י  יחזקאל קינר&amp;lt;/DecisionName&amp;gt;_x000d__x000a_        &amp;lt;DecisionStatusID&amp;gt;1&amp;lt;/DecisionStatusID&amp;gt;_x000d__x000a_        &amp;lt;DecisionStatusChangeDate&amp;gt;2024-05-04T00:25:01.387+03:00&amp;lt;/DecisionStatusChangeDate&amp;gt;_x000d__x000a_        &amp;lt;DecisionSignatureDate&amp;gt;2024-05-03T23:58:42.617+03:00&amp;lt;/DecisionSignatureDate&amp;gt;_x000d__x000a_        &amp;lt;DecisionSignatureUserID&amp;gt;052286226@GOV.IL&amp;lt;/DecisionSignatureUserID&amp;gt;_x000d__x000a_        &amp;lt;DecisionCreateDate&amp;gt;2024-05-04T00:03:58.233+03:00&amp;lt;/DecisionCreateDate&amp;gt;_x000d__x000a_        &amp;lt;DecisionChangeDate&amp;gt;2024-05-04T00:25:01.56+03:00&amp;lt;/DecisionChangeDate&amp;gt;_x000d__x000a_        &amp;lt;DecisionChangeUserID&amp;gt;052286226@GOV.IL&amp;lt;/DecisionChangeUserID&amp;gt;_x000d__x000a_        &amp;lt;IsChosenDecision&amp;gt;tru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41898383&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228622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2286226@GOV.IL&amp;lt;/DecisionCreationUserID&amp;gt;_x000d__x000a_        &amp;lt;DecisionDisplayName&amp;gt;החלטה  שניתנה ע&amp;quot;י  יחזקאל קינר&amp;lt;/DecisionDisplayName&amp;gt;_x000d__x000a_        &amp;lt;IsScanned&amp;gt;false&amp;lt;/IsScanned&amp;gt;_x000d__x000a_        &amp;lt;DecisionSignatureUserName&amp;gt;יחזקאל קינר&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amp;lt;/DecisionNumberInCase&amp;gt;_x000d__x000a_      &amp;lt;/dt_Decision&amp;gt;_x000d__x000a_      &amp;lt;dt_DecisionCase diffgr:id=&amp;quot;dt_DecisionCase1&amp;quot; msdata:rowOrder=&amp;quot;0&amp;quot;&amp;gt;_x000d__x000a_        &amp;lt;DecisionID&amp;gt;151420332&amp;lt;/DecisionID&amp;gt;_x000d__x000a_        &amp;lt;CaseID&amp;gt;74767194&amp;lt;/CaseID&amp;gt;_x000d__x000a_        &amp;lt;IsOriginal&amp;gt;true&amp;lt;/IsOriginal&amp;gt;_x000d__x000a_        &amp;lt;IsDeleted&amp;gt;false&amp;lt;/IsDeleted&amp;gt;_x000d__x000a_        &amp;lt;CaseName&amp;gt;אלמונית נ&amp;#39; המוסד לביטוח לאומי ואח&amp;#39;&amp;lt;/CaseName&amp;gt;_x000d__x000a_        &amp;lt;CaseDisplayIdentifier&amp;gt;38746-08-17 ת&amp;quot;צ&amp;lt;/CaseDisplayIdentifier&amp;gt;_x000d__x000a_      &amp;lt;/dt_DecisionCase&amp;gt;_x000d__x000a_    &amp;lt;/DecisionDS&amp;gt;_x000d__x000a_  &amp;lt;/diffgr:diffgram&amp;gt;_x000d__x000a_&amp;lt;/DecisionDS&amp;gt;"/>
    <w:docVar w:name="DecisionID" w:val="151420332"/>
    <w:docVar w:name="WordClientAssemblyName" w:val="NGCS.Decision.ClientWordBL"/>
    <w:docVar w:name="WordClientClassName" w:val="NGCS.Decision.ClientWordBL.DecisionClient"/>
  </w:docVars>
  <w:rsids>
    <w:rsidRoot w:val="00694556"/>
    <w:rsid w:val="00000062"/>
    <w:rsid w:val="0000226B"/>
    <w:rsid w:val="00005C8B"/>
    <w:rsid w:val="00007DE0"/>
    <w:rsid w:val="0003331E"/>
    <w:rsid w:val="000346CC"/>
    <w:rsid w:val="000529D2"/>
    <w:rsid w:val="000564AB"/>
    <w:rsid w:val="00064FBD"/>
    <w:rsid w:val="0007773C"/>
    <w:rsid w:val="00082AB2"/>
    <w:rsid w:val="000906FE"/>
    <w:rsid w:val="00096AF7"/>
    <w:rsid w:val="000B344B"/>
    <w:rsid w:val="000B74E6"/>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1C82"/>
    <w:rsid w:val="001C4003"/>
    <w:rsid w:val="001D4DBF"/>
    <w:rsid w:val="001E75CA"/>
    <w:rsid w:val="002265FF"/>
    <w:rsid w:val="00235B97"/>
    <w:rsid w:val="00271B56"/>
    <w:rsid w:val="00296FD6"/>
    <w:rsid w:val="002C344E"/>
    <w:rsid w:val="002E5837"/>
    <w:rsid w:val="002E75E9"/>
    <w:rsid w:val="002F0B1E"/>
    <w:rsid w:val="00307A6A"/>
    <w:rsid w:val="00307C40"/>
    <w:rsid w:val="00320433"/>
    <w:rsid w:val="003230C7"/>
    <w:rsid w:val="00327E50"/>
    <w:rsid w:val="0033597A"/>
    <w:rsid w:val="00343D89"/>
    <w:rsid w:val="0036252F"/>
    <w:rsid w:val="00362612"/>
    <w:rsid w:val="0036743F"/>
    <w:rsid w:val="003715DD"/>
    <w:rsid w:val="003823E0"/>
    <w:rsid w:val="003A4521"/>
    <w:rsid w:val="003B3E8D"/>
    <w:rsid w:val="003D1C8C"/>
    <w:rsid w:val="0040096C"/>
    <w:rsid w:val="00414F1F"/>
    <w:rsid w:val="0043125D"/>
    <w:rsid w:val="0043502B"/>
    <w:rsid w:val="00435BE2"/>
    <w:rsid w:val="004443AC"/>
    <w:rsid w:val="00444B02"/>
    <w:rsid w:val="00451E28"/>
    <w:rsid w:val="004549C7"/>
    <w:rsid w:val="00462C62"/>
    <w:rsid w:val="00463967"/>
    <w:rsid w:val="00465D36"/>
    <w:rsid w:val="004C17EE"/>
    <w:rsid w:val="004C4BDF"/>
    <w:rsid w:val="004D1187"/>
    <w:rsid w:val="004D3AA0"/>
    <w:rsid w:val="004E1987"/>
    <w:rsid w:val="004E2E15"/>
    <w:rsid w:val="004E607F"/>
    <w:rsid w:val="004E6E3C"/>
    <w:rsid w:val="00511B90"/>
    <w:rsid w:val="00520898"/>
    <w:rsid w:val="00523621"/>
    <w:rsid w:val="00524986"/>
    <w:rsid w:val="005268F6"/>
    <w:rsid w:val="00534284"/>
    <w:rsid w:val="00547DB7"/>
    <w:rsid w:val="005B17A4"/>
    <w:rsid w:val="005C0627"/>
    <w:rsid w:val="005F4F09"/>
    <w:rsid w:val="0061431B"/>
    <w:rsid w:val="00622BAA"/>
    <w:rsid w:val="006306CF"/>
    <w:rsid w:val="006318D8"/>
    <w:rsid w:val="00644E9A"/>
    <w:rsid w:val="00671BD5"/>
    <w:rsid w:val="006805C1"/>
    <w:rsid w:val="006861A6"/>
    <w:rsid w:val="00686C21"/>
    <w:rsid w:val="006931C1"/>
    <w:rsid w:val="00694556"/>
    <w:rsid w:val="00696287"/>
    <w:rsid w:val="006B7258"/>
    <w:rsid w:val="006C30C5"/>
    <w:rsid w:val="006D3B31"/>
    <w:rsid w:val="006E0D96"/>
    <w:rsid w:val="006E1A53"/>
    <w:rsid w:val="006F56E6"/>
    <w:rsid w:val="00704EDA"/>
    <w:rsid w:val="00721122"/>
    <w:rsid w:val="00734689"/>
    <w:rsid w:val="00753019"/>
    <w:rsid w:val="00754801"/>
    <w:rsid w:val="00761441"/>
    <w:rsid w:val="00795365"/>
    <w:rsid w:val="007A0296"/>
    <w:rsid w:val="007A351D"/>
    <w:rsid w:val="007B7765"/>
    <w:rsid w:val="007C5BDD"/>
    <w:rsid w:val="007D335A"/>
    <w:rsid w:val="007D45E3"/>
    <w:rsid w:val="007E6115"/>
    <w:rsid w:val="007F45AC"/>
    <w:rsid w:val="007F4609"/>
    <w:rsid w:val="00814468"/>
    <w:rsid w:val="008176A1"/>
    <w:rsid w:val="00820005"/>
    <w:rsid w:val="00841158"/>
    <w:rsid w:val="00844318"/>
    <w:rsid w:val="00851257"/>
    <w:rsid w:val="00863F5D"/>
    <w:rsid w:val="00870890"/>
    <w:rsid w:val="00873602"/>
    <w:rsid w:val="00875D12"/>
    <w:rsid w:val="0088479D"/>
    <w:rsid w:val="00891F42"/>
    <w:rsid w:val="00896889"/>
    <w:rsid w:val="008A59EE"/>
    <w:rsid w:val="008A6E97"/>
    <w:rsid w:val="008C5714"/>
    <w:rsid w:val="008D10B2"/>
    <w:rsid w:val="00903896"/>
    <w:rsid w:val="00906F3D"/>
    <w:rsid w:val="0094424E"/>
    <w:rsid w:val="0094636E"/>
    <w:rsid w:val="00955642"/>
    <w:rsid w:val="009622DF"/>
    <w:rsid w:val="0096493F"/>
    <w:rsid w:val="00967DFF"/>
    <w:rsid w:val="009777CA"/>
    <w:rsid w:val="00994341"/>
    <w:rsid w:val="009D1A48"/>
    <w:rsid w:val="009E0930"/>
    <w:rsid w:val="009E1CE7"/>
    <w:rsid w:val="009E4EA5"/>
    <w:rsid w:val="009F164B"/>
    <w:rsid w:val="009F323C"/>
    <w:rsid w:val="00A3392B"/>
    <w:rsid w:val="00A81988"/>
    <w:rsid w:val="00A832F0"/>
    <w:rsid w:val="00A85E34"/>
    <w:rsid w:val="00A87DF6"/>
    <w:rsid w:val="00A9144F"/>
    <w:rsid w:val="00A94B64"/>
    <w:rsid w:val="00AA3229"/>
    <w:rsid w:val="00AA7596"/>
    <w:rsid w:val="00AB5E52"/>
    <w:rsid w:val="00AC3B02"/>
    <w:rsid w:val="00AC3B7B"/>
    <w:rsid w:val="00AC5209"/>
    <w:rsid w:val="00AC5857"/>
    <w:rsid w:val="00AE0E34"/>
    <w:rsid w:val="00AE729E"/>
    <w:rsid w:val="00AE7752"/>
    <w:rsid w:val="00AF7FDA"/>
    <w:rsid w:val="00B31B54"/>
    <w:rsid w:val="00B5356E"/>
    <w:rsid w:val="00B62AD7"/>
    <w:rsid w:val="00B66717"/>
    <w:rsid w:val="00B809AD"/>
    <w:rsid w:val="00B80CBD"/>
    <w:rsid w:val="00B86096"/>
    <w:rsid w:val="00B95D6E"/>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C7622"/>
    <w:rsid w:val="00CD516B"/>
    <w:rsid w:val="00CD608F"/>
    <w:rsid w:val="00CE0084"/>
    <w:rsid w:val="00CF6BB7"/>
    <w:rsid w:val="00D04AA4"/>
    <w:rsid w:val="00D27982"/>
    <w:rsid w:val="00D33B86"/>
    <w:rsid w:val="00D44968"/>
    <w:rsid w:val="00D53924"/>
    <w:rsid w:val="00D55D0C"/>
    <w:rsid w:val="00D96D8C"/>
    <w:rsid w:val="00DA6649"/>
    <w:rsid w:val="00DC1259"/>
    <w:rsid w:val="00DC1BD2"/>
    <w:rsid w:val="00DC2571"/>
    <w:rsid w:val="00DC487C"/>
    <w:rsid w:val="00DD4335"/>
    <w:rsid w:val="00DE1E7D"/>
    <w:rsid w:val="00DE6BF6"/>
    <w:rsid w:val="00E1068A"/>
    <w:rsid w:val="00E25884"/>
    <w:rsid w:val="00E25B55"/>
    <w:rsid w:val="00E31C2B"/>
    <w:rsid w:val="00E5426A"/>
    <w:rsid w:val="00E54642"/>
    <w:rsid w:val="00E765F7"/>
    <w:rsid w:val="00E80CBE"/>
    <w:rsid w:val="00E9269D"/>
    <w:rsid w:val="00E927B1"/>
    <w:rsid w:val="00E962E3"/>
    <w:rsid w:val="00EB6C79"/>
    <w:rsid w:val="00EC37E9"/>
    <w:rsid w:val="00F038D8"/>
    <w:rsid w:val="00F06995"/>
    <w:rsid w:val="00F12D66"/>
    <w:rsid w:val="00F13623"/>
    <w:rsid w:val="00F44D1D"/>
    <w:rsid w:val="00F81FC0"/>
    <w:rsid w:val="00F84B6D"/>
    <w:rsid w:val="00F957E8"/>
    <w:rsid w:val="00FA311A"/>
    <w:rsid w:val="00FA5FDA"/>
    <w:rsid w:val="00FA7FD0"/>
    <w:rsid w:val="00FB6AB3"/>
    <w:rsid w:val="00FD1419"/>
    <w:rsid w:val="00FD79E4"/>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16065"/>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styleId="Hyperlink">
    <w:name w:val="Hyperlink"/>
    <w:basedOn w:val="a0"/>
    <w:uiPriority w:val="99"/>
    <w:semiHidden/>
    <w:unhideWhenUsed/>
    <w:rsid w:val="000B74E6"/>
    <w:rPr>
      <w:color w:val="0000FF" w:themeColor="hyperlink"/>
      <w:u w:val="single"/>
    </w:rPr>
  </w:style>
  <w:style w:type="paragraph" w:styleId="ad">
    <w:name w:val="List Paragraph"/>
    <w:basedOn w:val="a"/>
    <w:uiPriority w:val="34"/>
    <w:qFormat/>
    <w:rsid w:val="000B74E6"/>
    <w:pPr>
      <w:spacing w:after="160" w:line="256" w:lineRule="auto"/>
      <w:ind w:left="720"/>
      <w:contextualSpacing/>
    </w:pPr>
    <w:rPr>
      <w:rFonts w:asciiTheme="minorHAnsi" w:eastAsiaTheme="minorHAnsi" w:hAnsiTheme="minorHAnsi" w:cstheme="minorBidi"/>
      <w:noProof w:val="0"/>
      <w:sz w:val="22"/>
      <w:szCs w:val="22"/>
    </w:rPr>
  </w:style>
  <w:style w:type="character" w:customStyle="1" w:styleId="Ruller4">
    <w:name w:val="Ruller4 תו"/>
    <w:link w:val="Ruller40"/>
    <w:semiHidden/>
    <w:locked/>
    <w:rsid w:val="000B74E6"/>
    <w:rPr>
      <w:rFonts w:ascii="Arial TUR" w:hAnsi="Arial TUR" w:cs="FrankRuehl"/>
      <w:spacing w:val="10"/>
      <w:szCs w:val="28"/>
    </w:rPr>
  </w:style>
  <w:style w:type="paragraph" w:customStyle="1" w:styleId="Ruller40">
    <w:name w:val="Ruller4"/>
    <w:basedOn w:val="a"/>
    <w:link w:val="Ruller4"/>
    <w:semiHidden/>
    <w:rsid w:val="000B74E6"/>
    <w:pPr>
      <w:tabs>
        <w:tab w:val="left" w:pos="800"/>
      </w:tabs>
      <w:overflowPunct w:val="0"/>
      <w:autoSpaceDE w:val="0"/>
      <w:autoSpaceDN w:val="0"/>
      <w:adjustRightInd w:val="0"/>
      <w:spacing w:line="360" w:lineRule="auto"/>
      <w:jc w:val="both"/>
    </w:pPr>
    <w:rPr>
      <w:rFonts w:ascii="Arial TUR" w:hAnsi="Arial TUR" w:cs="FrankRuehl"/>
      <w:noProof w:val="0"/>
      <w:spacing w:val="10"/>
      <w:sz w:val="20"/>
      <w:szCs w:val="28"/>
    </w:rPr>
  </w:style>
  <w:style w:type="paragraph" w:customStyle="1" w:styleId="P00">
    <w:name w:val="P00"/>
    <w:uiPriority w:val="99"/>
    <w:semiHidden/>
    <w:rsid w:val="000B74E6"/>
    <w:pPr>
      <w:widowControl w:val="0"/>
      <w:tabs>
        <w:tab w:val="left" w:pos="624"/>
        <w:tab w:val="left" w:pos="1021"/>
        <w:tab w:val="left" w:pos="1474"/>
        <w:tab w:val="left" w:pos="1928"/>
        <w:tab w:val="left" w:pos="2381"/>
        <w:tab w:val="left" w:pos="2835"/>
        <w:tab w:val="right" w:leader="dot" w:pos="6259"/>
      </w:tabs>
      <w:suppressAutoHyphens/>
      <w:autoSpaceDE w:val="0"/>
      <w:autoSpaceDN w:val="0"/>
      <w:bidi/>
      <w:spacing w:before="60"/>
      <w:ind w:left="2835"/>
      <w:jc w:val="both"/>
    </w:pPr>
    <w:rPr>
      <w:noProof/>
      <w:szCs w:val="26"/>
      <w:lang w:eastAsia="he-IL"/>
    </w:rPr>
  </w:style>
  <w:style w:type="character" w:customStyle="1" w:styleId="default">
    <w:name w:val="default"/>
    <w:rsid w:val="000B74E6"/>
    <w:rPr>
      <w:rFonts w:ascii="Times New Roman" w:hAnsi="Times New Roman" w:cs="Times New Roman" w:hint="default"/>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2399846">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jp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A74356" w:rsidP="00A74356">
          <w:pPr>
            <w:pStyle w:val="E460D38E05664FF79D4EFF282EF8EC9931"/>
          </w:pPr>
          <w:r>
            <w:rPr>
              <w:rFonts w:hint="cs"/>
              <w:rtl/>
            </w:rPr>
            <w:t xml:space="preserve">     </w:t>
          </w:r>
        </w:p>
      </w:docPartBody>
    </w:docPart>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A74356" w:rsidP="00A74356">
          <w:pPr>
            <w:pStyle w:val="4672CCA166BA4F0A892EB1D7BA0002CB6"/>
          </w:pPr>
          <w:r>
            <w:rPr>
              <w:b/>
              <w:bCs/>
              <w:noProof w:val="0"/>
              <w:sz w:val="26"/>
              <w:szCs w:val="26"/>
              <w:rtl/>
            </w:rPr>
            <w:t>שם תיק ללא שמות חסויים</w:t>
          </w:r>
        </w:p>
      </w:docPartBody>
    </w:docPart>
    <w:docPart>
      <w:docPartPr>
        <w:name w:val="1C8A38705F7143EA87FF3DEB2C34E7E5"/>
        <w:category>
          <w:name w:val="כללי"/>
          <w:gallery w:val="placeholder"/>
        </w:category>
        <w:types>
          <w:type w:val="bbPlcHdr"/>
        </w:types>
        <w:behaviors>
          <w:behavior w:val="content"/>
        </w:behaviors>
        <w:guid w:val="{1E86C3EA-2CF6-44FF-B9FB-927839DC8693}"/>
      </w:docPartPr>
      <w:docPartBody>
        <w:p w:rsidR="00015B33" w:rsidRDefault="00A74356" w:rsidP="00A74356">
          <w:pPr>
            <w:pStyle w:val="1C8A38705F7143EA87FF3DEB2C34E7E56"/>
          </w:pPr>
          <w:r w:rsidRPr="00CD516B">
            <w:rPr>
              <w:rFonts w:ascii="Arial" w:hAnsi="Arial"/>
              <w:b/>
              <w:bCs/>
              <w:noProof w:val="0"/>
              <w:sz w:val="26"/>
              <w:szCs w:val="26"/>
              <w:rtl/>
            </w:rPr>
            <w:t>שם צד א' ללא שם של חסוי</w:t>
          </w:r>
        </w:p>
      </w:docPartBody>
    </w:docPart>
    <w:docPart>
      <w:docPartPr>
        <w:name w:val="4DC45A2FD697422FAA3CD896A84FA7B4"/>
        <w:category>
          <w:name w:val="כללי"/>
          <w:gallery w:val="placeholder"/>
        </w:category>
        <w:types>
          <w:type w:val="bbPlcHdr"/>
        </w:types>
        <w:behaviors>
          <w:behavior w:val="content"/>
        </w:behaviors>
        <w:guid w:val="{F44DEA08-0FB8-4CA3-B947-527E15190D19}"/>
      </w:docPartPr>
      <w:docPartBody>
        <w:p w:rsidR="00015B33" w:rsidRDefault="00A74356" w:rsidP="00A74356">
          <w:pPr>
            <w:pStyle w:val="4DC45A2FD697422FAA3CD896A84FA7B46"/>
          </w:pPr>
          <w:r w:rsidRPr="00CD516B">
            <w:rPr>
              <w:rFonts w:ascii="Arial" w:hAnsi="Arial"/>
              <w:b/>
              <w:bCs/>
              <w:noProof w:val="0"/>
              <w:sz w:val="26"/>
              <w:szCs w:val="26"/>
              <w:rtl/>
            </w:rPr>
            <w:t>שם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A0763"/>
    <w:rsid w:val="002D02C4"/>
    <w:rsid w:val="002D09CE"/>
    <w:rsid w:val="00345C9D"/>
    <w:rsid w:val="0048651F"/>
    <w:rsid w:val="004B017A"/>
    <w:rsid w:val="005157ED"/>
    <w:rsid w:val="00556D67"/>
    <w:rsid w:val="00673B50"/>
    <w:rsid w:val="00793995"/>
    <w:rsid w:val="007C6F98"/>
    <w:rsid w:val="007E254A"/>
    <w:rsid w:val="008B4366"/>
    <w:rsid w:val="009133C7"/>
    <w:rsid w:val="009178E4"/>
    <w:rsid w:val="00961B27"/>
    <w:rsid w:val="009A36E7"/>
    <w:rsid w:val="00A74356"/>
    <w:rsid w:val="00AA7CE3"/>
    <w:rsid w:val="00B50DB2"/>
    <w:rsid w:val="00B72BC2"/>
    <w:rsid w:val="00B91FA3"/>
    <w:rsid w:val="00BD69D1"/>
    <w:rsid w:val="00BE6557"/>
    <w:rsid w:val="00C96C06"/>
    <w:rsid w:val="00D24521"/>
    <w:rsid w:val="00D6580E"/>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74356"/>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1C8A38705F7143EA87FF3DEB2C34E7E55">
    <w:name w:val="1C8A38705F7143EA87FF3DEB2C34E7E55"/>
    <w:rsid w:val="002D09CE"/>
    <w:pPr>
      <w:bidi/>
      <w:spacing w:after="0" w:line="240" w:lineRule="auto"/>
    </w:pPr>
    <w:rPr>
      <w:rFonts w:ascii="Times New Roman" w:eastAsia="Times New Roman" w:hAnsi="Times New Roman" w:cs="David"/>
      <w:noProof/>
      <w:sz w:val="24"/>
      <w:szCs w:val="24"/>
    </w:rPr>
  </w:style>
  <w:style w:type="paragraph" w:customStyle="1" w:styleId="4DC45A2FD697422FAA3CD896A84FA7B45">
    <w:name w:val="4DC45A2FD697422FAA3CD896A84FA7B45"/>
    <w:rsid w:val="002D09CE"/>
    <w:pPr>
      <w:bidi/>
      <w:spacing w:after="0" w:line="240" w:lineRule="auto"/>
    </w:pPr>
    <w:rPr>
      <w:rFonts w:ascii="Times New Roman" w:eastAsia="Times New Roman" w:hAnsi="Times New Roman" w:cs="David"/>
      <w:noProof/>
      <w:sz w:val="24"/>
      <w:szCs w:val="24"/>
    </w:rPr>
  </w:style>
  <w:style w:type="paragraph" w:customStyle="1" w:styleId="610C6E051A88448494B3C30FBAD747734">
    <w:name w:val="610C6E051A88448494B3C30FBAD747734"/>
    <w:rsid w:val="002D09CE"/>
    <w:pPr>
      <w:bidi/>
      <w:spacing w:after="0" w:line="240" w:lineRule="auto"/>
    </w:pPr>
    <w:rPr>
      <w:rFonts w:ascii="Times New Roman" w:eastAsia="Times New Roman" w:hAnsi="Times New Roman" w:cs="David"/>
      <w:noProof/>
      <w:sz w:val="24"/>
      <w:szCs w:val="24"/>
    </w:rPr>
  </w:style>
  <w:style w:type="paragraph" w:customStyle="1" w:styleId="E94836ADA6264C72A55F651E19C4C7A64">
    <w:name w:val="E94836ADA6264C72A55F651E19C4C7A64"/>
    <w:rsid w:val="002D09CE"/>
    <w:pPr>
      <w:bidi/>
      <w:spacing w:after="0" w:line="240" w:lineRule="auto"/>
    </w:pPr>
    <w:rPr>
      <w:rFonts w:ascii="Times New Roman" w:eastAsia="Times New Roman" w:hAnsi="Times New Roman" w:cs="David"/>
      <w:noProof/>
      <w:sz w:val="24"/>
      <w:szCs w:val="24"/>
    </w:rPr>
  </w:style>
  <w:style w:type="paragraph" w:customStyle="1" w:styleId="E6E6A917CC5E4519A8F2E864C48E22F218">
    <w:name w:val="E6E6A917CC5E4519A8F2E864C48E22F218"/>
    <w:rsid w:val="002D09CE"/>
    <w:pPr>
      <w:bidi/>
      <w:spacing w:after="0" w:line="240" w:lineRule="auto"/>
    </w:pPr>
    <w:rPr>
      <w:rFonts w:ascii="Times New Roman" w:eastAsia="Times New Roman" w:hAnsi="Times New Roman" w:cs="David"/>
      <w:noProof/>
      <w:sz w:val="24"/>
      <w:szCs w:val="24"/>
    </w:rPr>
  </w:style>
  <w:style w:type="paragraph" w:customStyle="1" w:styleId="9DC4FF55E52B4E209349FC40470DD41818">
    <w:name w:val="9DC4FF55E52B4E209349FC40470DD41818"/>
    <w:rsid w:val="002D09CE"/>
    <w:pPr>
      <w:bidi/>
      <w:spacing w:after="0" w:line="240" w:lineRule="auto"/>
    </w:pPr>
    <w:rPr>
      <w:rFonts w:ascii="Times New Roman" w:eastAsia="Times New Roman" w:hAnsi="Times New Roman" w:cs="David"/>
      <w:noProof/>
      <w:sz w:val="24"/>
      <w:szCs w:val="24"/>
    </w:rPr>
  </w:style>
  <w:style w:type="paragraph" w:customStyle="1" w:styleId="112E7BE5CCF64A68A3D497F283A4D69518">
    <w:name w:val="112E7BE5CCF64A68A3D497F283A4D69518"/>
    <w:rsid w:val="002D09CE"/>
    <w:pPr>
      <w:bidi/>
      <w:spacing w:after="0" w:line="240" w:lineRule="auto"/>
    </w:pPr>
    <w:rPr>
      <w:rFonts w:ascii="Times New Roman" w:eastAsia="Times New Roman" w:hAnsi="Times New Roman" w:cs="David"/>
      <w:noProof/>
      <w:sz w:val="24"/>
      <w:szCs w:val="24"/>
    </w:rPr>
  </w:style>
  <w:style w:type="paragraph" w:customStyle="1" w:styleId="ECC435E5782A4F3FB39457279E24BE8816">
    <w:name w:val="ECC435E5782A4F3FB39457279E24BE8816"/>
    <w:rsid w:val="002D09CE"/>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2D09CE"/>
    <w:pPr>
      <w:bidi/>
      <w:spacing w:after="0" w:line="240" w:lineRule="auto"/>
    </w:pPr>
    <w:rPr>
      <w:rFonts w:ascii="Times New Roman" w:eastAsia="Times New Roman" w:hAnsi="Times New Roman" w:cs="David"/>
      <w:noProof/>
      <w:sz w:val="24"/>
      <w:szCs w:val="24"/>
    </w:rPr>
  </w:style>
  <w:style w:type="paragraph" w:customStyle="1" w:styleId="4672CCA166BA4F0A892EB1D7BA0002CB5">
    <w:name w:val="4672CCA166BA4F0A892EB1D7BA0002CB5"/>
    <w:rsid w:val="002D09CE"/>
    <w:pPr>
      <w:bidi/>
      <w:spacing w:after="0" w:line="240" w:lineRule="auto"/>
    </w:pPr>
    <w:rPr>
      <w:rFonts w:ascii="Times New Roman" w:eastAsia="Times New Roman" w:hAnsi="Times New Roman" w:cs="David"/>
      <w:noProof/>
      <w:sz w:val="24"/>
      <w:szCs w:val="24"/>
    </w:rPr>
  </w:style>
  <w:style w:type="paragraph" w:customStyle="1" w:styleId="D290653DA13E4E738B7E725F79D7332923">
    <w:name w:val="D290653DA13E4E738B7E725F79D7332923"/>
    <w:rsid w:val="002D09CE"/>
    <w:pPr>
      <w:bidi/>
      <w:spacing w:after="0" w:line="240" w:lineRule="auto"/>
    </w:pPr>
    <w:rPr>
      <w:rFonts w:ascii="Times New Roman" w:eastAsia="Times New Roman" w:hAnsi="Times New Roman" w:cs="David"/>
      <w:noProof/>
      <w:sz w:val="24"/>
      <w:szCs w:val="24"/>
    </w:rPr>
  </w:style>
  <w:style w:type="paragraph" w:customStyle="1" w:styleId="1C8A38705F7143EA87FF3DEB2C34E7E56">
    <w:name w:val="1C8A38705F7143EA87FF3DEB2C34E7E56"/>
    <w:rsid w:val="00A74356"/>
    <w:pPr>
      <w:bidi/>
      <w:spacing w:after="0" w:line="240" w:lineRule="auto"/>
    </w:pPr>
    <w:rPr>
      <w:rFonts w:ascii="Times New Roman" w:eastAsia="Times New Roman" w:hAnsi="Times New Roman" w:cs="David"/>
      <w:noProof/>
      <w:sz w:val="24"/>
      <w:szCs w:val="24"/>
    </w:rPr>
  </w:style>
  <w:style w:type="paragraph" w:customStyle="1" w:styleId="4DC45A2FD697422FAA3CD896A84FA7B46">
    <w:name w:val="4DC45A2FD697422FAA3CD896A84FA7B46"/>
    <w:rsid w:val="00A74356"/>
    <w:pPr>
      <w:bidi/>
      <w:spacing w:after="0" w:line="240" w:lineRule="auto"/>
    </w:pPr>
    <w:rPr>
      <w:rFonts w:ascii="Times New Roman" w:eastAsia="Times New Roman" w:hAnsi="Times New Roman" w:cs="David"/>
      <w:noProof/>
      <w:sz w:val="24"/>
      <w:szCs w:val="24"/>
    </w:rPr>
  </w:style>
  <w:style w:type="paragraph" w:customStyle="1" w:styleId="610C6E051A88448494B3C30FBAD747735">
    <w:name w:val="610C6E051A88448494B3C30FBAD747735"/>
    <w:rsid w:val="00A74356"/>
    <w:pPr>
      <w:bidi/>
      <w:spacing w:after="0" w:line="240" w:lineRule="auto"/>
    </w:pPr>
    <w:rPr>
      <w:rFonts w:ascii="Times New Roman" w:eastAsia="Times New Roman" w:hAnsi="Times New Roman" w:cs="David"/>
      <w:noProof/>
      <w:sz w:val="24"/>
      <w:szCs w:val="24"/>
    </w:rPr>
  </w:style>
  <w:style w:type="paragraph" w:customStyle="1" w:styleId="E94836ADA6264C72A55F651E19C4C7A65">
    <w:name w:val="E94836ADA6264C72A55F651E19C4C7A65"/>
    <w:rsid w:val="00A74356"/>
    <w:pPr>
      <w:bidi/>
      <w:spacing w:after="0" w:line="240" w:lineRule="auto"/>
    </w:pPr>
    <w:rPr>
      <w:rFonts w:ascii="Times New Roman" w:eastAsia="Times New Roman" w:hAnsi="Times New Roman" w:cs="David"/>
      <w:noProof/>
      <w:sz w:val="24"/>
      <w:szCs w:val="24"/>
    </w:rPr>
  </w:style>
  <w:style w:type="paragraph" w:customStyle="1" w:styleId="E6E6A917CC5E4519A8F2E864C48E22F219">
    <w:name w:val="E6E6A917CC5E4519A8F2E864C48E22F219"/>
    <w:rsid w:val="00A74356"/>
    <w:pPr>
      <w:bidi/>
      <w:spacing w:after="0" w:line="240" w:lineRule="auto"/>
    </w:pPr>
    <w:rPr>
      <w:rFonts w:ascii="Times New Roman" w:eastAsia="Times New Roman" w:hAnsi="Times New Roman" w:cs="David"/>
      <w:noProof/>
      <w:sz w:val="24"/>
      <w:szCs w:val="24"/>
    </w:rPr>
  </w:style>
  <w:style w:type="paragraph" w:customStyle="1" w:styleId="9DC4FF55E52B4E209349FC40470DD41819">
    <w:name w:val="9DC4FF55E52B4E209349FC40470DD41819"/>
    <w:rsid w:val="00A74356"/>
    <w:pPr>
      <w:bidi/>
      <w:spacing w:after="0" w:line="240" w:lineRule="auto"/>
    </w:pPr>
    <w:rPr>
      <w:rFonts w:ascii="Times New Roman" w:eastAsia="Times New Roman" w:hAnsi="Times New Roman" w:cs="David"/>
      <w:noProof/>
      <w:sz w:val="24"/>
      <w:szCs w:val="24"/>
    </w:rPr>
  </w:style>
  <w:style w:type="paragraph" w:customStyle="1" w:styleId="112E7BE5CCF64A68A3D497F283A4D69519">
    <w:name w:val="112E7BE5CCF64A68A3D497F283A4D69519"/>
    <w:rsid w:val="00A74356"/>
    <w:pPr>
      <w:bidi/>
      <w:spacing w:after="0" w:line="240" w:lineRule="auto"/>
    </w:pPr>
    <w:rPr>
      <w:rFonts w:ascii="Times New Roman" w:eastAsia="Times New Roman" w:hAnsi="Times New Roman" w:cs="David"/>
      <w:noProof/>
      <w:sz w:val="24"/>
      <w:szCs w:val="24"/>
    </w:rPr>
  </w:style>
  <w:style w:type="paragraph" w:customStyle="1" w:styleId="ECC435E5782A4F3FB39457279E24BE8817">
    <w:name w:val="ECC435E5782A4F3FB39457279E24BE8817"/>
    <w:rsid w:val="00A74356"/>
    <w:pPr>
      <w:bidi/>
      <w:spacing w:after="0" w:line="240" w:lineRule="auto"/>
    </w:pPr>
    <w:rPr>
      <w:rFonts w:ascii="Times New Roman" w:eastAsia="Times New Roman" w:hAnsi="Times New Roman" w:cs="David"/>
      <w:noProof/>
      <w:sz w:val="24"/>
      <w:szCs w:val="24"/>
    </w:rPr>
  </w:style>
  <w:style w:type="paragraph" w:customStyle="1" w:styleId="E460D38E05664FF79D4EFF282EF8EC9931">
    <w:name w:val="E460D38E05664FF79D4EFF282EF8EC9931"/>
    <w:rsid w:val="00A74356"/>
    <w:pPr>
      <w:bidi/>
      <w:spacing w:after="0" w:line="240" w:lineRule="auto"/>
    </w:pPr>
    <w:rPr>
      <w:rFonts w:ascii="Times New Roman" w:eastAsia="Times New Roman" w:hAnsi="Times New Roman" w:cs="David"/>
      <w:noProof/>
      <w:sz w:val="24"/>
      <w:szCs w:val="24"/>
    </w:rPr>
  </w:style>
  <w:style w:type="paragraph" w:customStyle="1" w:styleId="4672CCA166BA4F0A892EB1D7BA0002CB6">
    <w:name w:val="4672CCA166BA4F0A892EB1D7BA0002CB6"/>
    <w:rsid w:val="00A74356"/>
    <w:pPr>
      <w:bidi/>
      <w:spacing w:after="0" w:line="240" w:lineRule="auto"/>
    </w:pPr>
    <w:rPr>
      <w:rFonts w:ascii="Times New Roman" w:eastAsia="Times New Roman" w:hAnsi="Times New Roman" w:cs="David"/>
      <w:noProof/>
      <w:sz w:val="24"/>
      <w:szCs w:val="24"/>
    </w:rPr>
  </w:style>
  <w:style w:type="paragraph" w:customStyle="1" w:styleId="D290653DA13E4E738B7E725F79D7332924">
    <w:name w:val="D290653DA13E4E738B7E725F79D7332924"/>
    <w:rsid w:val="00A7435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74767194</CaseID>
    <CaseJudicialPersonPresentationDS>
      <CaseJudicalPersonActive>
        <CaseID>74767194</CaseID>
        <JudicialPersonID>052286226@GOV.IL</JudicialPersonID>
        <JudicialPersonTypeID>1</JudicialPersonTypeID>
        <JudicialTypeID>1</JudicialTypeID>
        <IsChairman>false</IsChairman>
        <TreatmentStartDate>2017-09-10T16:04:34.377+03:00</TreatmentStartDate>
        <TreatmentFinishDate>9999-12-31T23:59:59.997+02:00</TreatmentFinishDate>
        <IdentificationCardNumber>052286226</IdentificationCardNumber>
        <DisplayName>יחזקאל קינר</DisplayName>
        <JudicialTypeName>שופט</JudicialTypeName>
        <CaseJudicialGroupNumber>0</CaseJudicialGroupNumber>
        <FirstName>יחזקאל</FirstName>
        <LastName>קינר</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מורשה עיון</RoleName>
        <IsSubProceeding>FALSE</IsSubProceeding>
        <FullName>פרקליטות מחוז תל אביב</FullName>
        <FirstName>פרקליטות</FirstName>
        <LastName>מחוז תל אביב</LastName>
        <PartyPropertyName/>
        <AuthenticationTypeAndNumber>ת"ז </AuthenticationTypeAndNumber>
        <RepresentatedOrRepresentativesNames/>
        <RepresentatedOrRepresentativesCount>0</RepresentatedOrRepresentativesCount>
        <InvitedBy/>
        <CaseID>74767194</CaseID>
        <CaseJudicialPersonPresentationDS>
          <CaseJudicalPersonActive>
            <CaseID>74767194</CaseID>
            <JudicialPersonID>052286226@GOV.IL</JudicialPersonID>
            <JudicialPersonTypeID>1</JudicialPersonTypeID>
            <JudicialTypeID>1</JudicialTypeID>
            <IsChairman>false</IsChairman>
            <TreatmentStartDate>2017-09-10T16:04:34.377+03:00</TreatmentStartDate>
            <TreatmentFinishDate>9999-12-31T23:59:59.997+02:00</TreatmentFinishDate>
            <IdentificationCardNumber>052286226</IdentificationCardNumber>
            <DisplayName>יחזקאל קינר</DisplayName>
            <JudicialTypeName>שופט</JudicialTypeName>
            <CaseJudicialGroupNumber>0</CaseJudicialGroupNumber>
            <FirstName>יחזקאל</FirstName>
            <LastName>קינר</LastName>
            <JudicialPersonTitle>שופט</JudicialPersonTitle>
          </CaseJudicalPersonActive>
        </CaseJudicialPersonPresentationDS>
        <CasePartyID>193123522</CasePartyID>
        <PartyTypeID>3</PartyTypeID>
        <ActivityStatusID>1</ActivityStatusID>
        <LegalEntityID>77896041</LegalEntityID>
        <CaseLegalEntityID>105498244</CaseLegalEntityID>
        <AssistantRoleID>53</AssistantRoleID>
        <AuthenticationTypeID>1</AuthenticationTypeID>
        <AuthenticationTypeName>ת"ז</AuthenticationTypeName>
        <IsMainPartyType>true</IsMainPartyType>
        <CaseDisplayIdentifier>38746-08-17</CaseDisplayIdentifier>
        <CaseTypeID>10036</CaseTypeID>
        <CaseTypeName>תובענה ייצוגית (ת"צ)</CaseTypeName>
        <CaseName>אלמונית נ' המוסד לביטוח לאומי ואח'</CaseName>
        <FullAddress/>
        <MotionID>0</MotionID>
        <CasePleaID>0</CasePleaID>
        <LinkedCaseID>0</LinkedCaseID>
        <PartyID>1</PartyID>
        <CasePartyCategoryID>2</CasePartyCategoryID>
        <PleaTypeID>4</PleaTypeID>
        <GroupPartyAlias/>
        <IsConverted>false</IsConverted>
        <LegalEntityNameID>87243962</LegalEntityNameID>
        <RepresentatedNamesOfAssistant/>
        <LegalEntityTypeID>1</LegalEntityTypeID>
        <IsVerdictExists>false</IsVerdictExists>
        <IsAsirAzir>false</IsAsirAzir>
        <IsPublicationProhibited>false</IsPublicationProhibited>
        <PublicationProhibitedFullName>פרקליטות מחוז תל אביב</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עמוס רוזנצויג</FullName>
        <FirstName>עמוס</FirstName>
        <LastName>רוזנצויג</LastName>
        <PartyPropertyName/>
        <AuthenticationTypeAndNumber>מ.ר. 10501</AuthenticationTypeAndNumber>
        <RepresentatedOrRepresentativesNames xml:space="preserve"> </RepresentatedOrRepresentativesNames>
        <RepresentatedOrRepresentativesCount>2</RepresentatedOrRepresentativesCount>
        <InvitedBy/>
        <CaseID>74767194</CaseID>
        <CaseJudicialPersonPresentationDS>
          <CaseJudicalPersonActive>
            <CaseID>74767194</CaseID>
            <JudicialPersonID>052286226@GOV.IL</JudicialPersonID>
            <JudicialPersonTypeID>1</JudicialPersonTypeID>
            <JudicialTypeID>1</JudicialTypeID>
            <IsChairman>false</IsChairman>
            <TreatmentStartDate>2017-09-10T16:04:34.377+03:00</TreatmentStartDate>
            <TreatmentFinishDate>9999-12-31T23:59:59.997+02:00</TreatmentFinishDate>
            <IdentificationCardNumber>052286226</IdentificationCardNumber>
            <DisplayName>יחזקאל קינר</DisplayName>
            <JudicialTypeName>שופט</JudicialTypeName>
            <CaseJudicialGroupNumber>0</CaseJudicialGroupNumber>
            <FirstName>יחזקאל</FirstName>
            <LastName>קינר</LastName>
            <JudicialPersonTitle>שופט</JudicialPersonTitle>
          </CaseJudicalPersonActive>
        </CaseJudicialPersonPresentationDS>
        <CasePartyID>175520068</CasePartyID>
        <PartyTypeID>2</PartyTypeID>
        <ActivityStatusID>1</ActivityStatusID>
        <PartyAliasID>21</PartyAliasID>
        <PartyAliasName>בא כוח נתבעים</PartyAliasName>
        <LegalEntityID>380238</LegalEntityID>
        <CaseLegalEntityID>100273786</CaseLegalEntityID>
        <AuthenticationTypeID>4</AuthenticationTypeID>
        <AuthenticationTypeName>מ.ר.</AuthenticationTypeName>
        <LegalEntityNumber>10501</LegalEntityNumber>
        <IsMainPartyType>true</IsMainPartyType>
        <CaseDisplayIdentifier>38746-08-17</CaseDisplayIdentifier>
        <CaseTypeID>10036</CaseTypeID>
        <CaseTypeName>תובענה ייצוגית (ת"צ)</CaseTypeName>
        <CaseName>אלמונית נ' המוסד לביטוח לאומי ואח'</CaseName>
        <FullAddress>שד' ויצמן 13 ירושלים </FullAddress>
        <MotionID>0</MotionID>
        <CasePleaID>0</CasePleaID>
        <LinkedCaseID>0</LinkedCaseID>
        <PartyID>2</PartyID>
        <CasePartyCategoryID>2</CasePartyCategoryID>
        <LegalEntityAddressID>71052183</LegalEntityAddressID>
        <PleaTypeID>4</PleaTypeID>
        <LawyerOfficeName>המוסד לביטוח לאומי - הלשכה המשפטית - משרד ראשי ירושלים</LawyerOfficeName>
        <LawyerOfficeID>70136859</LawyerOfficeID>
        <GroupPartyAlias/>
        <IsConverted>false</IsConverted>
        <LegalEntityNameID>1222</LegalEntityNameID>
        <RepresentatedNamesOfAssistant/>
        <LegalEntityTypeID>4</LegalEntityTypeID>
        <IsVerdictExists>false</IsVerdictExists>
        <IsAsirAzir>false</IsAsirAzir>
        <IsPublicationProhibited>false</IsPublicationProhibited>
        <PublicationProhibitedFullName>עמוס רוזנצויג</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אמנון שבלת</FullName>
        <FirstName>אמנון</FirstName>
        <LastName>שבלת</LastName>
        <PartyPropertyName/>
        <AuthenticationTypeAndNumber>מ.ר. 5275</AuthenticationTypeAndNumber>
        <RepresentatedOrRepresentativesNames xml:space="preserve"> </RepresentatedOrRepresentativesNames>
        <RepresentatedOrRepresentativesCount>1</RepresentatedOrRepresentativesCount>
        <InvitedBy/>
        <CaseID>74767194</CaseID>
        <CaseJudicialPersonPresentationDS>
          <CaseJudicalPersonActive>
            <CaseID>74767194</CaseID>
            <JudicialPersonID>052286226@GOV.IL</JudicialPersonID>
            <JudicialPersonTypeID>1</JudicialPersonTypeID>
            <JudicialTypeID>1</JudicialTypeID>
            <IsChairman>false</IsChairman>
            <TreatmentStartDate>2017-09-10T16:04:34.377+03:00</TreatmentStartDate>
            <TreatmentFinishDate>9999-12-31T23:59:59.997+02:00</TreatmentFinishDate>
            <IdentificationCardNumber>052286226</IdentificationCardNumber>
            <DisplayName>יחזקאל קינר</DisplayName>
            <JudicialTypeName>שופט</JudicialTypeName>
            <CaseJudicialGroupNumber>0</CaseJudicialGroupNumber>
            <FirstName>יחזקאל</FirstName>
            <LastName>קינר</LastName>
            <JudicialPersonTitle>שופט</JudicialPersonTitle>
          </CaseJudicalPersonActive>
        </CaseJudicialPersonPresentationDS>
        <CasePartyID>185462790</CasePartyID>
        <PartyTypeID>2</PartyTypeID>
        <ActivityStatusID>1</ActivityStatusID>
        <PartyAliasID>21</PartyAliasID>
        <PartyAliasName>בא כוח נתבעים</PartyAliasName>
        <LegalEntityID>384372</LegalEntityID>
        <CaseLegalEntityID>103198191</CaseLegalEntityID>
        <AuthenticationTypeID>4</AuthenticationTypeID>
        <AuthenticationTypeName>מ.ר.</AuthenticationTypeName>
        <LegalEntityNumber>5275</LegalEntityNumber>
        <IsMainPartyType>true</IsMainPartyType>
        <CaseDisplayIdentifier>38746-08-17</CaseDisplayIdentifier>
        <CaseTypeID>10036</CaseTypeID>
        <CaseTypeName>תובענה ייצוגית (ת"צ)</CaseTypeName>
        <CaseName>אלמונית נ' המוסד לביטוח לאומי ואח'</CaseName>
        <FullAddress>ברקוביץ 4 תל אביב -יפו מגדל המוזיאון קומה 8</FullAddress>
        <EmailAddress>manager@shibolet.com</EmailAddress>
        <MotionID>0</MotionID>
        <CasePleaID>0</CasePleaID>
        <FatherName xml:space="preserve">        </FatherName>
        <LinkedCaseID>0</LinkedCaseID>
        <PartyID>2</PartyID>
        <CasePartyCategoryID>2</CasePartyCategoryID>
        <LegalEntityAddressID>427354</LegalEntityAddressID>
        <LegalEntityEmailAddressID>67947317</LegalEntityEmailAddressID>
        <PleaTypeID>4</PleaTypeID>
        <LawyerOfficeName>משרד עו"ד: שבלת ושות'</LawyerOfficeName>
        <LawyerOfficeID>425016</LawyerOfficeID>
        <GroupPartyAlias/>
        <IsConverted>false</IsConverted>
        <LegalEntityNameID>5356</LegalEntityNameID>
        <RepresentatedNamesOfAssistant/>
        <LegalEntityTypeID>4</LegalEntityTypeID>
        <IsVerdictExists>false</IsVerdictExists>
        <IsAsirAzir>false</IsAsirAzir>
        <IsPublicationProhibited>false</IsPublicationProhibited>
        <PublicationProhibitedFullName>אמנון שבלת</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אמיר פרנקל</FullName>
        <FirstName>אמיר</FirstName>
        <LastName>פרנקל</LastName>
        <PartyPropertyName/>
        <AuthenticationTypeAndNumber>מ.ר. 36117</AuthenticationTypeAndNumber>
        <RepresentatedOrRepresentativesNames xml:space="preserve"> </RepresentatedOrRepresentativesNames>
        <RepresentatedOrRepresentativesCount>1</RepresentatedOrRepresentativesCount>
        <InvitedBy/>
        <CaseID>74767194</CaseID>
        <CaseJudicialPersonPresentationDS>
          <CaseJudicalPersonActive>
            <CaseID>74767194</CaseID>
            <JudicialPersonID>052286226@GOV.IL</JudicialPersonID>
            <JudicialPersonTypeID>1</JudicialPersonTypeID>
            <JudicialTypeID>1</JudicialTypeID>
            <IsChairman>false</IsChairman>
            <TreatmentStartDate>2017-09-10T16:04:34.377+03:00</TreatmentStartDate>
            <TreatmentFinishDate>9999-12-31T23:59:59.997+02:00</TreatmentFinishDate>
            <IdentificationCardNumber>052286226</IdentificationCardNumber>
            <DisplayName>יחזקאל קינר</DisplayName>
            <JudicialTypeName>שופט</JudicialTypeName>
            <CaseJudicialGroupNumber>0</CaseJudicialGroupNumber>
            <FirstName>יחזקאל</FirstName>
            <LastName>קינר</LastName>
            <JudicialPersonTitle>שופט</JudicialPersonTitle>
          </CaseJudicalPersonActive>
        </CaseJudicialPersonPresentationDS>
        <CasePartyID>185532194</CasePartyID>
        <PartyTypeID>2</PartyTypeID>
        <ActivityStatusID>1</ActivityStatusID>
        <PartyAliasID>21</PartyAliasID>
        <PartyAliasName>בא כוח נתבעים</PartyAliasName>
        <LegalEntityID>410520</LegalEntityID>
        <CaseLegalEntityID>103221678</CaseLegalEntityID>
        <AuthenticationTypeID>4</AuthenticationTypeID>
        <AuthenticationTypeName>מ.ר.</AuthenticationTypeName>
        <LegalEntityNumber>36117</LegalEntityNumber>
        <IsMainPartyType>true</IsMainPartyType>
        <CaseDisplayIdentifier>38746-08-17</CaseDisplayIdentifier>
        <CaseTypeID>10036</CaseTypeID>
        <CaseTypeName>תובענה ייצוגית (ת"צ)</CaseTypeName>
        <CaseName>אלמונית נ' המוסד לביטוח לאומי ואח'</CaseName>
        <FullAddress>ברקוביץ 4 תל אביב -יפו מגדל המוזיאון קומה 8</FullAddress>
        <EmailAddress>manager@shibolet.com</EmailAddress>
        <MotionID>0</MotionID>
        <CasePleaID>0</CasePleaID>
        <FatherName xml:space="preserve">        </FatherName>
        <LinkedCaseID>0</LinkedCaseID>
        <PartyID>2</PartyID>
        <CasePartyCategoryID>2</CasePartyCategoryID>
        <LegalEntityAddressID>427354</LegalEntityAddressID>
        <LegalEntityEmailAddressID>67947317</LegalEntityEmailAddressID>
        <PleaTypeID>4</PleaTypeID>
        <LawyerOfficeName>משרד עו"ד: שבלת ושות'</LawyerOfficeName>
        <LawyerOfficeID>425016</LawyerOfficeID>
        <GroupPartyAlias/>
        <IsConverted>false</IsConverted>
        <LegalEntityNameID>31504</LegalEntityNameID>
        <RepresentatedNamesOfAssistant/>
        <LegalEntityTypeID>4</LegalEntityTypeID>
        <IsVerdictExists>false</IsVerdictExists>
        <IsAsirAzir>false</IsAsirAzir>
        <IsPublicationProhibited>false</IsPublicationProhibited>
        <PublicationProhibitedFullName>אמיר פרנקל</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לילך דיין</FullName>
        <FirstName>לילך</FirstName>
        <LastName>דיין</LastName>
        <PartyPropertyName/>
        <AuthenticationTypeAndNumber>מ.ר. 21206</AuthenticationTypeAndNumber>
        <RepresentatedOrRepresentativesNames> היועץ המשפטי לממשלה</RepresentatedOrRepresentativesNames>
        <RepresentatedOrRepresentativesCount>1</RepresentatedOrRepresentativesCount>
        <InvitedBy/>
        <CaseID>74767194</CaseID>
        <CaseJudicialPersonPresentationDS>
          <CaseJudicalPersonActive>
            <CaseID>74767194</CaseID>
            <JudicialPersonID>052286226@GOV.IL</JudicialPersonID>
            <JudicialPersonTypeID>1</JudicialPersonTypeID>
            <JudicialTypeID>1</JudicialTypeID>
            <IsChairman>false</IsChairman>
            <TreatmentStartDate>2017-09-10T16:04:34.377+03:00</TreatmentStartDate>
            <TreatmentFinishDate>9999-12-31T23:59:59.997+02:00</TreatmentFinishDate>
            <IdentificationCardNumber>052286226</IdentificationCardNumber>
            <DisplayName>יחזקאל קינר</DisplayName>
            <JudicialTypeName>שופט</JudicialTypeName>
            <CaseJudicialGroupNumber>0</CaseJudicialGroupNumber>
            <FirstName>יחזקאל</FirstName>
            <LastName>קינר</LastName>
            <JudicialPersonTitle>שופט</JudicialPersonTitle>
          </CaseJudicalPersonActive>
        </CaseJudicialPersonPresentationDS>
        <CasePartyID>259462640</CasePartyID>
        <PartyTypeID>2</PartyTypeID>
        <ActivityStatusID>1</ActivityStatusID>
        <PartyAliasID>21</PartyAliasID>
        <PartyAliasName>בא כוח נתבעים</PartyAliasName>
        <LegalEntityID>401129</LegalEntityID>
        <CaseLegalEntityID>125559524</CaseLegalEntityID>
        <AuthenticationTypeID>4</AuthenticationTypeID>
        <AuthenticationTypeName>מ.ר.</AuthenticationTypeName>
        <LegalEntityNumber>21206</LegalEntityNumber>
        <IsMainPartyType>true</IsMainPartyType>
        <CaseDisplayIdentifier>38746-08-17</CaseDisplayIdentifier>
        <CaseTypeID>10036</CaseTypeID>
        <CaseTypeName>תובענה ייצוגית (ת"צ)</CaseTypeName>
        <CaseName>אלמונית נ' המוסד לביטוח לאומי ואח'</CaseName>
        <FullAddress>דרך מנחם בגין 154 תל אביב -יפו בית קרדן</FullAddress>
        <EmailAddress>mazkirut-merkaz-ezra@justice.gov.il</EmailAddress>
        <MotionID>0</MotionID>
        <CasePleaID>0</CasePleaID>
        <LinkedCaseID>0</LinkedCaseID>
        <PartyID>2</PartyID>
        <CasePartyCategoryID>2</CasePartyCategoryID>
        <LegalEntityAddressID>78757293</LegalEntityAddressID>
        <LegalEntityEmailAddressID>67911887</LegalEntityEmailAddressID>
        <PleaTypeID>4</PleaTypeID>
        <LawyerOfficeName>פרקליטות מחוז מרכז - אזרחי</LawyerOfficeName>
        <LawyerOfficeID>75559885</LawyerOfficeID>
        <GroupPartyAlias/>
        <IsConverted>false</IsConverted>
        <LegalEntityNameID>22113</LegalEntityNameID>
        <RepresentatedNamesOfAssistant/>
        <LegalEntityTypeID>4</LegalEntityTypeID>
        <IsVerdictExists>false</IsVerdictExists>
        <IsAsirAzir>false</IsAsirAzir>
        <IsPublicationProhibited>false</IsPublicationProhibited>
        <PublicationProhibitedFullName>לילך דיין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פלונית אלמונית</FullName>
        <FirstName>פלונית</FirstName>
        <LastName>אלמונית</LastName>
        <PartyPropertyName/>
        <AuthenticationTypeAndNumber>ת"ז </AuthenticationTypeAndNumber>
        <RepresentatedOrRepresentativesNames>דוד שוורצבאום</RepresentatedOrRepresentativesNames>
        <RepresentatedOrRepresentativesCount>1</RepresentatedOrRepresentativesCount>
        <InvitedBy/>
        <CaseID>74767194</CaseID>
        <CaseJudicialPersonPresentationDS>
          <CaseJudicalPersonActive>
            <CaseID>74767194</CaseID>
            <JudicialPersonID>052286226@GOV.IL</JudicialPersonID>
            <JudicialPersonTypeID>1</JudicialPersonTypeID>
            <JudicialTypeID>1</JudicialTypeID>
            <IsChairman>false</IsChairman>
            <TreatmentStartDate>2017-09-10T16:04:34.377+03:00</TreatmentStartDate>
            <TreatmentFinishDate>9999-12-31T23:59:59.997+02:00</TreatmentFinishDate>
            <IdentificationCardNumber>052286226</IdentificationCardNumber>
            <DisplayName>יחזקאל קינר</DisplayName>
            <JudicialTypeName>שופט</JudicialTypeName>
            <CaseJudicialGroupNumber>0</CaseJudicialGroupNumber>
            <FirstName>יחזקאל</FirstName>
            <LastName>קינר</LastName>
            <JudicialPersonTitle>שופט</JudicialPersonTitle>
          </CaseJudicalPersonActive>
        </CaseJudicialPersonPresentationDS>
        <CasePartyID>170653220</CasePartyID>
        <PartyTypeID>1</PartyTypeID>
        <ActivityStatusID>1</ActivityStatusID>
        <PartyAliasID>1</PartyAliasID>
        <PartyAliasName>תובע</PartyAliasName>
        <OrdinalNumber>1</OrdinalNumber>
        <LegalEntityID>76562626</LegalEntityID>
        <CaseLegalEntityID>98797228</CaseLegalEntityID>
        <AuthenticationTypeID>1</AuthenticationTypeID>
        <AuthenticationTypeName>ת"ז</AuthenticationTypeName>
        <IsMainPartyType>true</IsMainPartyType>
        <CaseDisplayIdentifier>38746-08-17</CaseDisplayIdentifier>
        <CaseTypeID>10036</CaseTypeID>
        <CaseTypeName>תובענה ייצוגית (ת"צ)</CaseTypeName>
        <CaseName>אלמונית נ' המוסד לביטוח לאומי ואח'</CaseName>
        <FullAddress/>
        <MotionID>0</MotionID>
        <CasePleaID>0</CasePleaID>
        <LinkedCaseID>0</LinkedCaseID>
        <PartyID>1</PartyID>
        <CasePartyCategoryID>2</CasePartyCategoryID>
        <PleaTypeID>4</PleaTypeID>
        <GroupPartyAlias>תובעים</GroupPartyAlias>
        <IsConverted>false</IsConverted>
        <LegalEntityNameID>84302629</LegalEntityNameID>
        <RepresentatedNamesOfAssistant/>
        <LegalEntityTypeID>1</LegalEntityTypeID>
        <IsVerdictExists>false</IsVerdictExists>
        <IsAsirAzir>false</IsAsirAzir>
        <IsPublicationProhibited>false</IsPublicationProhibited>
        <PublicationProhibitedFullName>פלונית אלמונית</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דוד שוורצבאום</FullName>
        <FirstName>דוד</FirstName>
        <LastName>שוורצבאום</LastName>
        <PartyPropertyName/>
        <AuthenticationTypeAndNumber>מ.ר. 45052</AuthenticationTypeAndNumber>
        <RepresentatedOrRepresentativesNames>פלונית אלמונית</RepresentatedOrRepresentativesNames>
        <RepresentatedOrRepresentativesCount>1</RepresentatedOrRepresentativesCount>
        <InvitedBy/>
        <CaseID>74767194</CaseID>
        <CaseJudicialPersonPresentationDS>
          <CaseJudicalPersonActive>
            <CaseID>74767194</CaseID>
            <JudicialPersonID>052286226@GOV.IL</JudicialPersonID>
            <JudicialPersonTypeID>1</JudicialPersonTypeID>
            <JudicialTypeID>1</JudicialTypeID>
            <IsChairman>false</IsChairman>
            <TreatmentStartDate>2017-09-10T16:04:34.377+03:00</TreatmentStartDate>
            <TreatmentFinishDate>9999-12-31T23:59:59.997+02:00</TreatmentFinishDate>
            <IdentificationCardNumber>052286226</IdentificationCardNumber>
            <DisplayName>יחזקאל קינר</DisplayName>
            <JudicialTypeName>שופט</JudicialTypeName>
            <CaseJudicialGroupNumber>0</CaseJudicialGroupNumber>
            <FirstName>יחזקאל</FirstName>
            <LastName>קינר</LastName>
            <JudicialPersonTitle>שופט</JudicialPersonTitle>
          </CaseJudicalPersonActive>
        </CaseJudicialPersonPresentationDS>
        <CasePartyID>170653221</CasePartyID>
        <PartyTypeID>2</PartyTypeID>
        <ActivityStatusID>1</ActivityStatusID>
        <PartyAliasID>20</PartyAliasID>
        <PartyAliasName>בא כוח תובעים</PartyAliasName>
        <OrdinalNumber>1</OrdinalNumber>
        <LegalEntityID>15882634</LegalEntityID>
        <CaseLegalEntityID>98797229</CaseLegalEntityID>
        <AuthenticationTypeID>4</AuthenticationTypeID>
        <AuthenticationTypeName>מ.ר.</AuthenticationTypeName>
        <LegalEntityNumber>45052</LegalEntityNumber>
        <IsMainPartyType>true</IsMainPartyType>
        <CaseDisplayIdentifier>38746-08-17</CaseDisplayIdentifier>
        <CaseTypeID>10036</CaseTypeID>
        <CaseTypeName>תובענה ייצוגית (ת"צ)</CaseTypeName>
        <CaseName>אלמונית נ' המוסד לביטוח לאומי ואח'</CaseName>
        <FullAddress>פקריס 3 רחובות מרכז רורברג, אגף אינשטיין, קומה ה'</FullAddress>
        <MotionID>0</MotionID>
        <CasePleaID>0</CasePleaID>
        <LinkedCaseID>0</LinkedCaseID>
        <PartyID>1</PartyID>
        <CasePartyCategoryID>2</CasePartyCategoryID>
        <LegalEntityAddressID>33439364</LegalEntityAddressID>
        <PleaTypeID>4</PleaTypeID>
        <LawyerOfficeName>מרקמן את טומשין-משרד עו"ד</LawyerOfficeName>
        <LawyerOfficeID>420136</LawyerOfficeID>
        <GroupPartyAlias/>
        <IsConverted>false</IsConverted>
        <LegalEntityNameID>17529735</LegalEntityNameID>
        <RepresentatedNamesOfAssistant/>
        <LegalEntityTypeID>4</LegalEntityTypeID>
        <IsVerdictExists>false</IsVerdictExists>
        <IsAsirAzir>false</IsAsirAzir>
        <IsPublicationProhibited>false</IsPublicationProhibited>
        <PublicationProhibitedFullName>דוד שוורצבאום</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המוסד לביטוח לאומי</FullName>
        <LastName>המוסד לביטוח לאומי</LastName>
        <PartyPropertyName/>
        <AuthenticationTypeAndNumber>חברות 1000000007702</AuthenticationTypeAndNumber>
        <RepresentatedOrRepresentativesNames>אמיר פרנקל, עמוס רוזנצויג, אמנון שבלת</RepresentatedOrRepresentativesNames>
        <RepresentatedOrRepresentativesCount>3</RepresentatedOrRepresentativesCount>
        <InvitedBy/>
        <CaseID>74767194</CaseID>
        <CaseJudicialPersonPresentationDS>
          <CaseJudicalPersonActive>
            <CaseID>74767194</CaseID>
            <JudicialPersonID>052286226@GOV.IL</JudicialPersonID>
            <JudicialPersonTypeID>1</JudicialPersonTypeID>
            <JudicialTypeID>1</JudicialTypeID>
            <IsChairman>false</IsChairman>
            <TreatmentStartDate>2017-09-10T16:04:34.377+03:00</TreatmentStartDate>
            <TreatmentFinishDate>9999-12-31T23:59:59.997+02:00</TreatmentFinishDate>
            <IdentificationCardNumber>052286226</IdentificationCardNumber>
            <DisplayName>יחזקאל קינר</DisplayName>
            <JudicialTypeName>שופט</JudicialTypeName>
            <CaseJudicialGroupNumber>0</CaseJudicialGroupNumber>
            <FirstName>יחזקאל</FirstName>
            <LastName>קינר</LastName>
            <JudicialPersonTitle>שופט</JudicialPersonTitle>
          </CaseJudicalPersonActive>
        </CaseJudicialPersonPresentationDS>
        <CasePartyID>170653222</CasePartyID>
        <PartyTypeID>1</PartyTypeID>
        <ActivityStatusID>1</ActivityStatusID>
        <PartyAliasID>2</PartyAliasID>
        <PartyAliasName>נתבע</PartyAliasName>
        <OrdinalNumber>1</OrdinalNumber>
        <LegalEntityID>5516309</LegalEntityID>
        <CaseLegalEntityID>98797230</CaseLegalEntityID>
        <AuthenticationTypeID>3</AuthenticationTypeID>
        <AuthenticationTypeName>חברות</AuthenticationTypeName>
        <LegalEntityNumber>1000000007702</LegalEntityNumber>
        <IsMainPartyType>true</IsMainPartyType>
        <CaseDisplayIdentifier>38746-08-17</CaseDisplayIdentifier>
        <CaseTypeID>10036</CaseTypeID>
        <CaseTypeName>תובענה ייצוגית (ת"צ)</CaseTypeName>
        <CaseName>אלמונית נ' המוסד לביטוח לאומי ואח'</CaseName>
        <FullAddress>ויצמן 14 ירושלים </FullAddress>
        <MotionID>0</MotionID>
        <CasePleaID>0</CasePleaID>
        <LinkedCaseID>0</LinkedCaseID>
        <PartyID>2</PartyID>
        <CasePartyCategoryID>2</CasePartyCategoryID>
        <LegalEntityAddressID>80260594</LegalEntityAddressID>
        <PleaTypeID>4</PleaTypeID>
        <GroupPartyAlias>נתבעים</GroupPartyAlias>
        <IsConverted>false</IsConverted>
        <LegalEntityRegisteredNameID>388810</LegalEntityRegisteredNameID>
        <RepresentatedNamesOfAssistant/>
        <LegalEntityTypeID>3</LegalEntityTypeID>
        <IsVerdictExists>false</IsVerdictExists>
        <IsAsirAzir>false</IsAsirAzir>
        <IsPublicationProhibited>false</IsPublicationProhibited>
        <PublicationProhibitedFullName>המוסד לביטוח לאומי</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ביטוח לאומי מחלקה משפטית</FullName>
        <LastName>ביטוח לאומי מחלקה משפטית</LastName>
        <PartyPropertyName/>
        <AuthenticationTypeAndNumber>משרדי ממשלה 570000760</AuthenticationTypeAndNumber>
        <RepresentatedOrRepresentativesNames>עמוס רוזנצויג</RepresentatedOrRepresentativesNames>
        <RepresentatedOrRepresentativesCount>1</RepresentatedOrRepresentativesCount>
        <InvitedBy/>
        <CaseID>74767194</CaseID>
        <CaseJudicialPersonPresentationDS>
          <CaseJudicalPersonActive>
            <CaseID>74767194</CaseID>
            <JudicialPersonID>052286226@GOV.IL</JudicialPersonID>
            <JudicialPersonTypeID>1</JudicialPersonTypeID>
            <JudicialTypeID>1</JudicialTypeID>
            <IsChairman>false</IsChairman>
            <TreatmentStartDate>2017-09-10T16:04:34.377+03:00</TreatmentStartDate>
            <TreatmentFinishDate>9999-12-31T23:59:59.997+02:00</TreatmentFinishDate>
            <IdentificationCardNumber>052286226</IdentificationCardNumber>
            <DisplayName>יחזקאל קינר</DisplayName>
            <JudicialTypeName>שופט</JudicialTypeName>
            <CaseJudicialGroupNumber>0</CaseJudicialGroupNumber>
            <FirstName>יחזקאל</FirstName>
            <LastName>קינר</LastName>
            <JudicialPersonTitle>שופט</JudicialPersonTitle>
          </CaseJudicalPersonActive>
        </CaseJudicialPersonPresentationDS>
        <CasePartyID>175160830</CasePartyID>
        <PartyTypeID>1</PartyTypeID>
        <ActivityStatusID>1</ActivityStatusID>
        <PartyAliasID>2</PartyAliasID>
        <PartyAliasName>נתבע</PartyAliasName>
        <OrdinalNumber>2</OrdinalNumber>
        <LegalEntityID>21009998</LegalEntityID>
        <CaseLegalEntityID>100168557</CaseLegalEntityID>
        <AuthenticationTypeID>13</AuthenticationTypeID>
        <AuthenticationTypeName>משרדי ממשלה</AuthenticationTypeName>
        <LegalEntityNumber>570000760</LegalEntityNumber>
        <IsMainPartyType>true</IsMainPartyType>
        <CaseDisplayIdentifier>38746-08-17</CaseDisplayIdentifier>
        <CaseTypeID>10036</CaseTypeID>
        <CaseTypeName>תובענה ייצוגית (ת"צ)</CaseTypeName>
        <CaseName>אלמונית נ' המוסד לביטוח לאומי ואח'</CaseName>
        <FullAddress/>
        <MotionID>0</MotionID>
        <CasePleaID>0</CasePleaID>
        <LinkedCaseID>0</LinkedCaseID>
        <PartyID>2</PartyID>
        <CasePartyCategoryID>2</CasePartyCategoryID>
        <PleaTypeID>4</PleaTypeID>
        <GroupPartyAlias>נתבעים</GroupPartyAlias>
        <IsConverted>false</IsConverted>
        <LegalEntityRegisteredNameID>1793711</LegalEntityRegisteredNameID>
        <RepresentatedNamesOfAssistant/>
        <LegalEntityTypeID>3</LegalEntityTypeID>
        <IsVerdictExists>false</IsVerdictExists>
        <IsAsirAzir>false</IsAsirAzir>
        <IsPublicationProhibited>false</IsPublicationProhibited>
        <PublicationProhibitedFullName>ביטוח לאומי מחלקה משפטית</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היועץ המשפטי לממשלה</FullName>
        <LastName>היועץ המשפטי לממשלה</LastName>
        <PartyPropertyName/>
        <AuthenticationTypeAndNumber>משרדי ממשלה 513442037</AuthenticationTypeAndNumber>
        <RepresentatedOrRepresentativesNames>לילך דיין</RepresentatedOrRepresentativesNames>
        <RepresentatedOrRepresentativesCount>1</RepresentatedOrRepresentativesCount>
        <InvitedBy/>
        <CaseID>74767194</CaseID>
        <CaseJudicialPersonPresentationDS>
          <CaseJudicalPersonActive>
            <CaseID>74767194</CaseID>
            <JudicialPersonID>052286226@GOV.IL</JudicialPersonID>
            <JudicialPersonTypeID>1</JudicialPersonTypeID>
            <JudicialTypeID>1</JudicialTypeID>
            <IsChairman>false</IsChairman>
            <TreatmentStartDate>2017-09-10T16:04:34.377+03:00</TreatmentStartDate>
            <TreatmentFinishDate>9999-12-31T23:59:59.997+02:00</TreatmentFinishDate>
            <IdentificationCardNumber>052286226</IdentificationCardNumber>
            <DisplayName>יחזקאל קינר</DisplayName>
            <JudicialTypeName>שופט</JudicialTypeName>
            <CaseJudicialGroupNumber>0</CaseJudicialGroupNumber>
            <FirstName>יחזקאל</FirstName>
            <LastName>קינר</LastName>
            <JudicialPersonTitle>שופט</JudicialPersonTitle>
          </CaseJudicalPersonActive>
        </CaseJudicialPersonPresentationDS>
        <CasePartyID>211479384</CasePartyID>
        <PartyTypeID>1</PartyTypeID>
        <ActivityStatusID>1</ActivityStatusID>
        <PartyAliasID>2</PartyAliasID>
        <PartyAliasName>נתבע</PartyAliasName>
        <OrdinalNumber>3</OrdinalNumber>
        <LegalEntityID>7545341</LegalEntityID>
        <CaseLegalEntityID>110945002</CaseLegalEntityID>
        <AuthenticationTypeID>13</AuthenticationTypeID>
        <AuthenticationTypeName>משרדי ממשלה</AuthenticationTypeName>
        <LegalEntityNumber>513442037</LegalEntityNumber>
        <IsMainPartyType>true</IsMainPartyType>
        <CaseDisplayIdentifier>38746-08-17</CaseDisplayIdentifier>
        <CaseTypeID>10036</CaseTypeID>
        <CaseTypeName>תובענה ייצוגית (ת"צ)</CaseTypeName>
        <CaseName>אלמונית נ' המוסד לביטוח לאומי ואח'</CaseName>
        <FullAddress>ע"י פרקליטות המחוז ירושלים ..</FullAddress>
        <MotionID>0</MotionID>
        <CasePleaID>0</CasePleaID>
        <LinkedCaseID>0</LinkedCaseID>
        <PartyID>2</PartyID>
        <CasePartyCategoryID>2</CasePartyCategoryID>
        <LegalEntityAddressID>82082780</LegalEntityAddressID>
        <PleaTypeID>4</PleaTypeID>
        <GroupPartyAlias>נתבעים</GroupPartyAlias>
        <IsConverted>false</IsConverted>
        <LegalEntityRegisteredNameID>406586</LegalEntityRegisteredNameID>
        <LegalEntityNameID>76054935</LegalEntityNameID>
        <RepresentatedNamesOfAssistant/>
        <LegalEntityTypeID>3</LegalEntityTypeID>
        <IsVerdictExists>false</IsVerdictExists>
        <IsAsirAzir>false</IsAsirAzir>
        <IsPublicationProhibited>false</IsPublicationProhibited>
        <PublicationProhibitedFullName>היועץ המשפטי לממשלה</PublicationProhibitedFullName>
      </CaseParties>
    </CasePartiesSelectionDS>
    <DecisionName>החלטה  שניתנה ע"י  יחזקאל קינר</DecisionName>
    <CourtDisplayName>בית המשפט המחוזי מרכז-לוד</CourtDisplayName>
    <IsCaseJudgePanel>false</IsCaseJudgePanel>
    <DecisionSignatureDate>2024-05-03T23:58:42.6165833+03:00</DecisionSignatureDate>
    <OpenCaseDate>2017-08-17T12:08:00+03:00</OpenCaseDate>
    <CaseFeeSum>500.000</CaseFeeSum>
    <DecisionTypeID>1</DecisionTypeID>
    <DecisionSignatureUserName>יחזקאל קינר</DecisionSignatureUserName>
    <DecisionSignatureDateHebrew>2024-05-03T23:58:42.6165833+03:00</DecisionSignatureDateHebrew>
    <DecisionWriterID>052286226@GOV.IL</DecisionWriterID>
    <CourtAddress>רח' שדרות הציונות 3, לוד -1</CourtAddress>
    <IsAutoTextInCaseExist>false</IsAutoTextInCaseExist>
    <DecisionSignatureRoleName>שופט</DecisionSignatureRoleName>
    <DecisionSignatureUserTitleName>שופט</DecisionSignatureUserTitleName>
    <CaseName>אלמונית נ' המוסד לביטוח לאומי ואח'</CaseName>
    <DecisionNumberInCase>2</DecisionNumberInCase>
  </dt_Decision>
  <dt_DecisionCase>
    <DecisionID>0</DecisionID>
    <CaseID>74767194</CaseID>
    <CaseJudicialPersonPresentationDS>
      <CaseJudicalPersonActive>
        <CaseID>74767194</CaseID>
        <JudicialPersonID>052286226@GOV.IL</JudicialPersonID>
        <JudicialPersonTypeID>1</JudicialPersonTypeID>
        <JudicialTypeID>1</JudicialTypeID>
        <IsChairman>false</IsChairman>
        <TreatmentStartDate>2017-09-10T16:04:34.377+03:00</TreatmentStartDate>
        <TreatmentFinishDate>9999-12-31T23:59:59.997+02:00</TreatmentFinishDate>
        <IdentificationCardNumber>052286226</IdentificationCardNumber>
        <DisplayName>יחזקאל קינר</DisplayName>
        <JudicialTypeName>שופט</JudicialTypeName>
        <CaseJudicialGroupNumber>0</CaseJudicialGroupNumber>
        <FirstName>יחזקאל</FirstName>
        <LastName>קינר</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מורשה עיון</RoleName>
        <IsSubProceeding>FALSE</IsSubProceeding>
        <FullName>פרקליטות מחוז תל אביב</FullName>
        <FirstName>פרקליטות</FirstName>
        <LastName>מחוז תל אביב</LastName>
        <PartyPropertyName/>
        <AuthenticationTypeAndNumber>ת"ז </AuthenticationTypeAndNumber>
        <RepresentatedOrRepresentativesNames/>
        <RepresentatedOrRepresentativesCount>0</RepresentatedOrRepresentativesCount>
        <InvitedBy/>
        <CaseID>74767194</CaseID>
        <CaseJudicialPersonPresentationDS>
          <CaseJudicalPersonActive>
            <CaseID>74767194</CaseID>
            <JudicialPersonID>052286226@GOV.IL</JudicialPersonID>
            <JudicialPersonTypeID>1</JudicialPersonTypeID>
            <JudicialTypeID>1</JudicialTypeID>
            <IsChairman>false</IsChairman>
            <TreatmentStartDate>2017-09-10T16:04:34.377+03:00</TreatmentStartDate>
            <TreatmentFinishDate>9999-12-31T23:59:59.997+02:00</TreatmentFinishDate>
            <IdentificationCardNumber>052286226</IdentificationCardNumber>
            <DisplayName>יחזקאל קינר</DisplayName>
            <JudicialTypeName>שופט</JudicialTypeName>
            <CaseJudicialGroupNumber>0</CaseJudicialGroupNumber>
            <FirstName>יחזקאל</FirstName>
            <LastName>קינר</LastName>
            <JudicialPersonTitle>שופט</JudicialPersonTitle>
          </CaseJudicalPersonActive>
        </CaseJudicialPersonPresentationDS>
        <CasePartyID>193123522</CasePartyID>
        <PartyTypeID>3</PartyTypeID>
        <ActivityStatusID>1</ActivityStatusID>
        <LegalEntityID>77896041</LegalEntityID>
        <CaseLegalEntityID>105498244</CaseLegalEntityID>
        <AssistantRoleID>53</AssistantRoleID>
        <AuthenticationTypeID>1</AuthenticationTypeID>
        <AuthenticationTypeName>ת"ז</AuthenticationTypeName>
        <IsMainPartyType>true</IsMainPartyType>
        <CaseDisplayIdentifier>38746-08-17</CaseDisplayIdentifier>
        <CaseTypeID>10036</CaseTypeID>
        <CaseTypeName>תובענה ייצוגית (ת"צ)</CaseTypeName>
        <CaseName>אלמונית נ' המוסד לביטוח לאומי ואח'</CaseName>
        <FullAddress/>
        <MotionID>0</MotionID>
        <CasePleaID>0</CasePleaID>
        <LinkedCaseID>0</LinkedCaseID>
        <PartyID>1</PartyID>
        <CasePartyCategoryID>2</CasePartyCategoryID>
        <PleaTypeID>4</PleaTypeID>
        <GroupPartyAlias/>
        <IsConverted>false</IsConverted>
        <LegalEntityNameID>87243962</LegalEntityNameID>
        <RepresentatedNamesOfAssistant/>
        <LegalEntityTypeID>1</LegalEntityTypeID>
        <IsVerdictExists>false</IsVerdictExists>
        <IsAsirAzir>false</IsAsirAzir>
        <IsPublicationProhibited>false</IsPublicationProhibited>
        <PublicationProhibitedFullName>פרקליטות מחוז תל אביב</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עמוס רוזנצויג</FullName>
        <FirstName>עמוס</FirstName>
        <LastName>רוזנצויג</LastName>
        <PartyPropertyName/>
        <AuthenticationTypeAndNumber>מ.ר. 10501</AuthenticationTypeAndNumber>
        <RepresentatedOrRepresentativesNames xml:space="preserve"> </RepresentatedOrRepresentativesNames>
        <RepresentatedOrRepresentativesCount>2</RepresentatedOrRepresentativesCount>
        <InvitedBy/>
        <CaseID>74767194</CaseID>
        <CaseJudicialPersonPresentationDS>
          <CaseJudicalPersonActive>
            <CaseID>74767194</CaseID>
            <JudicialPersonID>052286226@GOV.IL</JudicialPersonID>
            <JudicialPersonTypeID>1</JudicialPersonTypeID>
            <JudicialTypeID>1</JudicialTypeID>
            <IsChairman>false</IsChairman>
            <TreatmentStartDate>2017-09-10T16:04:34.377+03:00</TreatmentStartDate>
            <TreatmentFinishDate>9999-12-31T23:59:59.997+02:00</TreatmentFinishDate>
            <IdentificationCardNumber>052286226</IdentificationCardNumber>
            <DisplayName>יחזקאל קינר</DisplayName>
            <JudicialTypeName>שופט</JudicialTypeName>
            <CaseJudicialGroupNumber>0</CaseJudicialGroupNumber>
            <FirstName>יחזקאל</FirstName>
            <LastName>קינר</LastName>
            <JudicialPersonTitle>שופט</JudicialPersonTitle>
          </CaseJudicalPersonActive>
        </CaseJudicialPersonPresentationDS>
        <CasePartyID>175520068</CasePartyID>
        <PartyTypeID>2</PartyTypeID>
        <ActivityStatusID>1</ActivityStatusID>
        <PartyAliasID>21</PartyAliasID>
        <PartyAliasName>בא כוח נתבעים</PartyAliasName>
        <LegalEntityID>380238</LegalEntityID>
        <CaseLegalEntityID>100273786</CaseLegalEntityID>
        <AuthenticationTypeID>4</AuthenticationTypeID>
        <AuthenticationTypeName>מ.ר.</AuthenticationTypeName>
        <LegalEntityNumber>10501</LegalEntityNumber>
        <IsMainPartyType>true</IsMainPartyType>
        <CaseDisplayIdentifier>38746-08-17</CaseDisplayIdentifier>
        <CaseTypeID>10036</CaseTypeID>
        <CaseTypeName>תובענה ייצוגית (ת"צ)</CaseTypeName>
        <CaseName>אלמונית נ' המוסד לביטוח לאומי ואח'</CaseName>
        <FullAddress>שד' ויצמן 13 ירושלים </FullAddress>
        <MotionID>0</MotionID>
        <CasePleaID>0</CasePleaID>
        <LinkedCaseID>0</LinkedCaseID>
        <PartyID>2</PartyID>
        <CasePartyCategoryID>2</CasePartyCategoryID>
        <LegalEntityAddressID>71052183</LegalEntityAddressID>
        <PleaTypeID>4</PleaTypeID>
        <LawyerOfficeName>המוסד לביטוח לאומי - הלשכה המשפטית - משרד ראשי ירושלים</LawyerOfficeName>
        <LawyerOfficeID>70136859</LawyerOfficeID>
        <GroupPartyAlias/>
        <IsConverted>false</IsConverted>
        <LegalEntityNameID>1222</LegalEntityNameID>
        <RepresentatedNamesOfAssistant/>
        <LegalEntityTypeID>4</LegalEntityTypeID>
        <IsVerdictExists>false</IsVerdictExists>
        <IsAsirAzir>false</IsAsirAzir>
        <IsPublicationProhibited>false</IsPublicationProhibited>
        <PublicationProhibitedFullName>עמוס רוזנצויג</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אמנון שבלת</FullName>
        <FirstName>אמנון</FirstName>
        <LastName>שבלת</LastName>
        <PartyPropertyName/>
        <AuthenticationTypeAndNumber>מ.ר. 5275</AuthenticationTypeAndNumber>
        <RepresentatedOrRepresentativesNames xml:space="preserve"> </RepresentatedOrRepresentativesNames>
        <RepresentatedOrRepresentativesCount>1</RepresentatedOrRepresentativesCount>
        <InvitedBy/>
        <CaseID>74767194</CaseID>
        <CaseJudicialPersonPresentationDS>
          <CaseJudicalPersonActive>
            <CaseID>74767194</CaseID>
            <JudicialPersonID>052286226@GOV.IL</JudicialPersonID>
            <JudicialPersonTypeID>1</JudicialPersonTypeID>
            <JudicialTypeID>1</JudicialTypeID>
            <IsChairman>false</IsChairman>
            <TreatmentStartDate>2017-09-10T16:04:34.377+03:00</TreatmentStartDate>
            <TreatmentFinishDate>9999-12-31T23:59:59.997+02:00</TreatmentFinishDate>
            <IdentificationCardNumber>052286226</IdentificationCardNumber>
            <DisplayName>יחזקאל קינר</DisplayName>
            <JudicialTypeName>שופט</JudicialTypeName>
            <CaseJudicialGroupNumber>0</CaseJudicialGroupNumber>
            <FirstName>יחזקאל</FirstName>
            <LastName>קינר</LastName>
            <JudicialPersonTitle>שופט</JudicialPersonTitle>
          </CaseJudicalPersonActive>
        </CaseJudicialPersonPresentationDS>
        <CasePartyID>185462790</CasePartyID>
        <PartyTypeID>2</PartyTypeID>
        <ActivityStatusID>1</ActivityStatusID>
        <PartyAliasID>21</PartyAliasID>
        <PartyAliasName>בא כוח נתבעים</PartyAliasName>
        <LegalEntityID>384372</LegalEntityID>
        <CaseLegalEntityID>103198191</CaseLegalEntityID>
        <AuthenticationTypeID>4</AuthenticationTypeID>
        <AuthenticationTypeName>מ.ר.</AuthenticationTypeName>
        <LegalEntityNumber>5275</LegalEntityNumber>
        <IsMainPartyType>true</IsMainPartyType>
        <CaseDisplayIdentifier>38746-08-17</CaseDisplayIdentifier>
        <CaseTypeID>10036</CaseTypeID>
        <CaseTypeName>תובענה ייצוגית (ת"צ)</CaseTypeName>
        <CaseName>אלמונית נ' המוסד לביטוח לאומי ואח'</CaseName>
        <FullAddress>ברקוביץ 4 תל אביב -יפו מגדל המוזיאון קומה 8</FullAddress>
        <EmailAddress>manager@shibolet.com</EmailAddress>
        <MotionID>0</MotionID>
        <CasePleaID>0</CasePleaID>
        <FatherName xml:space="preserve">        </FatherName>
        <LinkedCaseID>0</LinkedCaseID>
        <PartyID>2</PartyID>
        <CasePartyCategoryID>2</CasePartyCategoryID>
        <LegalEntityAddressID>427354</LegalEntityAddressID>
        <LegalEntityEmailAddressID>67947317</LegalEntityEmailAddressID>
        <PleaTypeID>4</PleaTypeID>
        <LawyerOfficeName>משרד עו"ד: שבלת ושות'</LawyerOfficeName>
        <LawyerOfficeID>425016</LawyerOfficeID>
        <GroupPartyAlias/>
        <IsConverted>false</IsConverted>
        <LegalEntityNameID>5356</LegalEntityNameID>
        <RepresentatedNamesOfAssistant/>
        <LegalEntityTypeID>4</LegalEntityTypeID>
        <IsVerdictExists>false</IsVerdictExists>
        <IsAsirAzir>false</IsAsirAzir>
        <IsPublicationProhibited>false</IsPublicationProhibited>
        <PublicationProhibitedFullName>אמנון שבלת</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אמיר פרנקל</FullName>
        <FirstName>אמיר</FirstName>
        <LastName>פרנקל</LastName>
        <PartyPropertyName/>
        <AuthenticationTypeAndNumber>מ.ר. 36117</AuthenticationTypeAndNumber>
        <RepresentatedOrRepresentativesNames xml:space="preserve"> </RepresentatedOrRepresentativesNames>
        <RepresentatedOrRepresentativesCount>1</RepresentatedOrRepresentativesCount>
        <InvitedBy/>
        <CaseID>74767194</CaseID>
        <CaseJudicialPersonPresentationDS>
          <CaseJudicalPersonActive>
            <CaseID>74767194</CaseID>
            <JudicialPersonID>052286226@GOV.IL</JudicialPersonID>
            <JudicialPersonTypeID>1</JudicialPersonTypeID>
            <JudicialTypeID>1</JudicialTypeID>
            <IsChairman>false</IsChairman>
            <TreatmentStartDate>2017-09-10T16:04:34.377+03:00</TreatmentStartDate>
            <TreatmentFinishDate>9999-12-31T23:59:59.997+02:00</TreatmentFinishDate>
            <IdentificationCardNumber>052286226</IdentificationCardNumber>
            <DisplayName>יחזקאל קינר</DisplayName>
            <JudicialTypeName>שופט</JudicialTypeName>
            <CaseJudicialGroupNumber>0</CaseJudicialGroupNumber>
            <FirstName>יחזקאל</FirstName>
            <LastName>קינר</LastName>
            <JudicialPersonTitle>שופט</JudicialPersonTitle>
          </CaseJudicalPersonActive>
        </CaseJudicialPersonPresentationDS>
        <CasePartyID>185532194</CasePartyID>
        <PartyTypeID>2</PartyTypeID>
        <ActivityStatusID>1</ActivityStatusID>
        <PartyAliasID>21</PartyAliasID>
        <PartyAliasName>בא כוח נתבעים</PartyAliasName>
        <LegalEntityID>410520</LegalEntityID>
        <CaseLegalEntityID>103221678</CaseLegalEntityID>
        <AuthenticationTypeID>4</AuthenticationTypeID>
        <AuthenticationTypeName>מ.ר.</AuthenticationTypeName>
        <LegalEntityNumber>36117</LegalEntityNumber>
        <IsMainPartyType>true</IsMainPartyType>
        <CaseDisplayIdentifier>38746-08-17</CaseDisplayIdentifier>
        <CaseTypeID>10036</CaseTypeID>
        <CaseTypeName>תובענה ייצוגית (ת"צ)</CaseTypeName>
        <CaseName>אלמונית נ' המוסד לביטוח לאומי ואח'</CaseName>
        <FullAddress>ברקוביץ 4 תל אביב -יפו מגדל המוזיאון קומה 8</FullAddress>
        <EmailAddress>manager@shibolet.com</EmailAddress>
        <MotionID>0</MotionID>
        <CasePleaID>0</CasePleaID>
        <FatherName xml:space="preserve">        </FatherName>
        <LinkedCaseID>0</LinkedCaseID>
        <PartyID>2</PartyID>
        <CasePartyCategoryID>2</CasePartyCategoryID>
        <LegalEntityAddressID>427354</LegalEntityAddressID>
        <LegalEntityEmailAddressID>67947317</LegalEntityEmailAddressID>
        <PleaTypeID>4</PleaTypeID>
        <LawyerOfficeName>משרד עו"ד: שבלת ושות'</LawyerOfficeName>
        <LawyerOfficeID>425016</LawyerOfficeID>
        <GroupPartyAlias/>
        <IsConverted>false</IsConverted>
        <LegalEntityNameID>31504</LegalEntityNameID>
        <RepresentatedNamesOfAssistant/>
        <LegalEntityTypeID>4</LegalEntityTypeID>
        <IsVerdictExists>false</IsVerdictExists>
        <IsAsirAzir>false</IsAsirAzir>
        <IsPublicationProhibited>false</IsPublicationProhibited>
        <PublicationProhibitedFullName>אמיר פרנקל</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לילך דיין</FullName>
        <FirstName>לילך</FirstName>
        <LastName>דיין</LastName>
        <PartyPropertyName/>
        <AuthenticationTypeAndNumber>מ.ר. 21206</AuthenticationTypeAndNumber>
        <RepresentatedOrRepresentativesNames> היועץ המשפטי לממשלה</RepresentatedOrRepresentativesNames>
        <RepresentatedOrRepresentativesCount>1</RepresentatedOrRepresentativesCount>
        <InvitedBy/>
        <CaseID>74767194</CaseID>
        <CaseJudicialPersonPresentationDS>
          <CaseJudicalPersonActive>
            <CaseID>74767194</CaseID>
            <JudicialPersonID>052286226@GOV.IL</JudicialPersonID>
            <JudicialPersonTypeID>1</JudicialPersonTypeID>
            <JudicialTypeID>1</JudicialTypeID>
            <IsChairman>false</IsChairman>
            <TreatmentStartDate>2017-09-10T16:04:34.377+03:00</TreatmentStartDate>
            <TreatmentFinishDate>9999-12-31T23:59:59.997+02:00</TreatmentFinishDate>
            <IdentificationCardNumber>052286226</IdentificationCardNumber>
            <DisplayName>יחזקאל קינר</DisplayName>
            <JudicialTypeName>שופט</JudicialTypeName>
            <CaseJudicialGroupNumber>0</CaseJudicialGroupNumber>
            <FirstName>יחזקאל</FirstName>
            <LastName>קינר</LastName>
            <JudicialPersonTitle>שופט</JudicialPersonTitle>
          </CaseJudicalPersonActive>
        </CaseJudicialPersonPresentationDS>
        <CasePartyID>259462640</CasePartyID>
        <PartyTypeID>2</PartyTypeID>
        <ActivityStatusID>1</ActivityStatusID>
        <PartyAliasID>21</PartyAliasID>
        <PartyAliasName>בא כוח נתבעים</PartyAliasName>
        <LegalEntityID>401129</LegalEntityID>
        <CaseLegalEntityID>125559524</CaseLegalEntityID>
        <AuthenticationTypeID>4</AuthenticationTypeID>
        <AuthenticationTypeName>מ.ר.</AuthenticationTypeName>
        <LegalEntityNumber>21206</LegalEntityNumber>
        <IsMainPartyType>true</IsMainPartyType>
        <CaseDisplayIdentifier>38746-08-17</CaseDisplayIdentifier>
        <CaseTypeID>10036</CaseTypeID>
        <CaseTypeName>תובענה ייצוגית (ת"צ)</CaseTypeName>
        <CaseName>אלמונית נ' המוסד לביטוח לאומי ואח'</CaseName>
        <FullAddress>דרך מנחם בגין 154 תל אביב -יפו בית קרדן</FullAddress>
        <EmailAddress>mazkirut-merkaz-ezra@justice.gov.il</EmailAddress>
        <MotionID>0</MotionID>
        <CasePleaID>0</CasePleaID>
        <LinkedCaseID>0</LinkedCaseID>
        <PartyID>2</PartyID>
        <CasePartyCategoryID>2</CasePartyCategoryID>
        <LegalEntityAddressID>78757293</LegalEntityAddressID>
        <LegalEntityEmailAddressID>67911887</LegalEntityEmailAddressID>
        <PleaTypeID>4</PleaTypeID>
        <LawyerOfficeName>פרקליטות מחוז מרכז - אזרחי</LawyerOfficeName>
        <LawyerOfficeID>75559885</LawyerOfficeID>
        <GroupPartyAlias/>
        <IsConverted>false</IsConverted>
        <LegalEntityNameID>22113</LegalEntityNameID>
        <RepresentatedNamesOfAssistant/>
        <LegalEntityTypeID>4</LegalEntityTypeID>
        <IsVerdictExists>false</IsVerdictExists>
        <IsAsirAzir>false</IsAsirAzir>
        <IsPublicationProhibited>false</IsPublicationProhibited>
        <PublicationProhibitedFullName>לילך דיין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פלונית אלמונית</FullName>
        <FirstName>פלונית</FirstName>
        <LastName>אלמונית</LastName>
        <PartyPropertyName/>
        <AuthenticationTypeAndNumber>ת"ז </AuthenticationTypeAndNumber>
        <RepresentatedOrRepresentativesNames>דוד שוורצבאום</RepresentatedOrRepresentativesNames>
        <RepresentatedOrRepresentativesCount>1</RepresentatedOrRepresentativesCount>
        <InvitedBy/>
        <CaseID>74767194</CaseID>
        <CaseJudicialPersonPresentationDS>
          <CaseJudicalPersonActive>
            <CaseID>74767194</CaseID>
            <JudicialPersonID>052286226@GOV.IL</JudicialPersonID>
            <JudicialPersonTypeID>1</JudicialPersonTypeID>
            <JudicialTypeID>1</JudicialTypeID>
            <IsChairman>false</IsChairman>
            <TreatmentStartDate>2017-09-10T16:04:34.377+03:00</TreatmentStartDate>
            <TreatmentFinishDate>9999-12-31T23:59:59.997+02:00</TreatmentFinishDate>
            <IdentificationCardNumber>052286226</IdentificationCardNumber>
            <DisplayName>יחזקאל קינר</DisplayName>
            <JudicialTypeName>שופט</JudicialTypeName>
            <CaseJudicialGroupNumber>0</CaseJudicialGroupNumber>
            <FirstName>יחזקאל</FirstName>
            <LastName>קינר</LastName>
            <JudicialPersonTitle>שופט</JudicialPersonTitle>
          </CaseJudicalPersonActive>
        </CaseJudicialPersonPresentationDS>
        <CasePartyID>170653220</CasePartyID>
        <PartyTypeID>1</PartyTypeID>
        <ActivityStatusID>1</ActivityStatusID>
        <PartyAliasID>1</PartyAliasID>
        <PartyAliasName>תובע</PartyAliasName>
        <OrdinalNumber>1</OrdinalNumber>
        <LegalEntityID>76562626</LegalEntityID>
        <CaseLegalEntityID>98797228</CaseLegalEntityID>
        <AuthenticationTypeID>1</AuthenticationTypeID>
        <AuthenticationTypeName>ת"ז</AuthenticationTypeName>
        <IsMainPartyType>true</IsMainPartyType>
        <CaseDisplayIdentifier>38746-08-17</CaseDisplayIdentifier>
        <CaseTypeID>10036</CaseTypeID>
        <CaseTypeName>תובענה ייצוגית (ת"צ)</CaseTypeName>
        <CaseName>אלמונית נ' המוסד לביטוח לאומי ואח'</CaseName>
        <FullAddress/>
        <MotionID>0</MotionID>
        <CasePleaID>0</CasePleaID>
        <LinkedCaseID>0</LinkedCaseID>
        <PartyID>1</PartyID>
        <CasePartyCategoryID>2</CasePartyCategoryID>
        <PleaTypeID>4</PleaTypeID>
        <GroupPartyAlias>תובעים</GroupPartyAlias>
        <IsConverted>false</IsConverted>
        <LegalEntityNameID>84302629</LegalEntityNameID>
        <RepresentatedNamesOfAssistant/>
        <LegalEntityTypeID>1</LegalEntityTypeID>
        <IsVerdictExists>false</IsVerdictExists>
        <IsAsirAzir>false</IsAsirAzir>
        <IsPublicationProhibited>false</IsPublicationProhibited>
        <PublicationProhibitedFullName>פלונית אלמונית</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דוד שוורצבאום</FullName>
        <FirstName>דוד</FirstName>
        <LastName>שוורצבאום</LastName>
        <PartyPropertyName/>
        <AuthenticationTypeAndNumber>מ.ר. 45052</AuthenticationTypeAndNumber>
        <RepresentatedOrRepresentativesNames>פלונית אלמונית</RepresentatedOrRepresentativesNames>
        <RepresentatedOrRepresentativesCount>1</RepresentatedOrRepresentativesCount>
        <InvitedBy/>
        <CaseID>74767194</CaseID>
        <CaseJudicialPersonPresentationDS>
          <CaseJudicalPersonActive>
            <CaseID>74767194</CaseID>
            <JudicialPersonID>052286226@GOV.IL</JudicialPersonID>
            <JudicialPersonTypeID>1</JudicialPersonTypeID>
            <JudicialTypeID>1</JudicialTypeID>
            <IsChairman>false</IsChairman>
            <TreatmentStartDate>2017-09-10T16:04:34.377+03:00</TreatmentStartDate>
            <TreatmentFinishDate>9999-12-31T23:59:59.997+02:00</TreatmentFinishDate>
            <IdentificationCardNumber>052286226</IdentificationCardNumber>
            <DisplayName>יחזקאל קינר</DisplayName>
            <JudicialTypeName>שופט</JudicialTypeName>
            <CaseJudicialGroupNumber>0</CaseJudicialGroupNumber>
            <FirstName>יחזקאל</FirstName>
            <LastName>קינר</LastName>
            <JudicialPersonTitle>שופט</JudicialPersonTitle>
          </CaseJudicalPersonActive>
        </CaseJudicialPersonPresentationDS>
        <CasePartyID>170653221</CasePartyID>
        <PartyTypeID>2</PartyTypeID>
        <ActivityStatusID>1</ActivityStatusID>
        <PartyAliasID>20</PartyAliasID>
        <PartyAliasName>בא כוח תובעים</PartyAliasName>
        <OrdinalNumber>1</OrdinalNumber>
        <LegalEntityID>15882634</LegalEntityID>
        <CaseLegalEntityID>98797229</CaseLegalEntityID>
        <AuthenticationTypeID>4</AuthenticationTypeID>
        <AuthenticationTypeName>מ.ר.</AuthenticationTypeName>
        <LegalEntityNumber>45052</LegalEntityNumber>
        <IsMainPartyType>true</IsMainPartyType>
        <CaseDisplayIdentifier>38746-08-17</CaseDisplayIdentifier>
        <CaseTypeID>10036</CaseTypeID>
        <CaseTypeName>תובענה ייצוגית (ת"צ)</CaseTypeName>
        <CaseName>אלמונית נ' המוסד לביטוח לאומי ואח'</CaseName>
        <FullAddress>פקריס 3 רחובות מרכז רורברג, אגף אינשטיין, קומה ה'</FullAddress>
        <MotionID>0</MotionID>
        <CasePleaID>0</CasePleaID>
        <LinkedCaseID>0</LinkedCaseID>
        <PartyID>1</PartyID>
        <CasePartyCategoryID>2</CasePartyCategoryID>
        <LegalEntityAddressID>33439364</LegalEntityAddressID>
        <PleaTypeID>4</PleaTypeID>
        <LawyerOfficeName>מרקמן את טומשין-משרד עו"ד</LawyerOfficeName>
        <LawyerOfficeID>420136</LawyerOfficeID>
        <GroupPartyAlias/>
        <IsConverted>false</IsConverted>
        <LegalEntityNameID>17529735</LegalEntityNameID>
        <RepresentatedNamesOfAssistant/>
        <LegalEntityTypeID>4</LegalEntityTypeID>
        <IsVerdictExists>false</IsVerdictExists>
        <IsAsirAzir>false</IsAsirAzir>
        <IsPublicationProhibited>false</IsPublicationProhibited>
        <PublicationProhibitedFullName>דוד שוורצבאום</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המוסד לביטוח לאומי</FullName>
        <LastName>המוסד לביטוח לאומי</LastName>
        <PartyPropertyName/>
        <AuthenticationTypeAndNumber>חברות 1000000007702</AuthenticationTypeAndNumber>
        <RepresentatedOrRepresentativesNames>אמיר פרנקל, עמוס רוזנצויג, אמנון שבלת</RepresentatedOrRepresentativesNames>
        <RepresentatedOrRepresentativesCount>3</RepresentatedOrRepresentativesCount>
        <InvitedBy/>
        <CaseID>74767194</CaseID>
        <CaseJudicialPersonPresentationDS>
          <CaseJudicalPersonActive>
            <CaseID>74767194</CaseID>
            <JudicialPersonID>052286226@GOV.IL</JudicialPersonID>
            <JudicialPersonTypeID>1</JudicialPersonTypeID>
            <JudicialTypeID>1</JudicialTypeID>
            <IsChairman>false</IsChairman>
            <TreatmentStartDate>2017-09-10T16:04:34.377+03:00</TreatmentStartDate>
            <TreatmentFinishDate>9999-12-31T23:59:59.997+02:00</TreatmentFinishDate>
            <IdentificationCardNumber>052286226</IdentificationCardNumber>
            <DisplayName>יחזקאל קינר</DisplayName>
            <JudicialTypeName>שופט</JudicialTypeName>
            <CaseJudicialGroupNumber>0</CaseJudicialGroupNumber>
            <FirstName>יחזקאל</FirstName>
            <LastName>קינר</LastName>
            <JudicialPersonTitle>שופט</JudicialPersonTitle>
          </CaseJudicalPersonActive>
        </CaseJudicialPersonPresentationDS>
        <CasePartyID>170653222</CasePartyID>
        <PartyTypeID>1</PartyTypeID>
        <ActivityStatusID>1</ActivityStatusID>
        <PartyAliasID>2</PartyAliasID>
        <PartyAliasName>נתבע</PartyAliasName>
        <OrdinalNumber>1</OrdinalNumber>
        <LegalEntityID>5516309</LegalEntityID>
        <CaseLegalEntityID>98797230</CaseLegalEntityID>
        <AuthenticationTypeID>3</AuthenticationTypeID>
        <AuthenticationTypeName>חברות</AuthenticationTypeName>
        <LegalEntityNumber>1000000007702</LegalEntityNumber>
        <IsMainPartyType>true</IsMainPartyType>
        <CaseDisplayIdentifier>38746-08-17</CaseDisplayIdentifier>
        <CaseTypeID>10036</CaseTypeID>
        <CaseTypeName>תובענה ייצוגית (ת"צ)</CaseTypeName>
        <CaseName>אלמונית נ' המוסד לביטוח לאומי ואח'</CaseName>
        <FullAddress>ויצמן 14 ירושלים </FullAddress>
        <MotionID>0</MotionID>
        <CasePleaID>0</CasePleaID>
        <LinkedCaseID>0</LinkedCaseID>
        <PartyID>2</PartyID>
        <CasePartyCategoryID>2</CasePartyCategoryID>
        <LegalEntityAddressID>80260594</LegalEntityAddressID>
        <PleaTypeID>4</PleaTypeID>
        <GroupPartyAlias>נתבעים</GroupPartyAlias>
        <IsConverted>false</IsConverted>
        <LegalEntityRegisteredNameID>388810</LegalEntityRegisteredNameID>
        <RepresentatedNamesOfAssistant/>
        <LegalEntityTypeID>3</LegalEntityTypeID>
        <IsVerdictExists>false</IsVerdictExists>
        <IsAsirAzir>false</IsAsirAzir>
        <IsPublicationProhibited>false</IsPublicationProhibited>
        <PublicationProhibitedFullName>המוסד לביטוח לאומי</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ביטוח לאומי מחלקה משפטית</FullName>
        <LastName>ביטוח לאומי מחלקה משפטית</LastName>
        <PartyPropertyName/>
        <AuthenticationTypeAndNumber>משרדי ממשלה 570000760</AuthenticationTypeAndNumber>
        <RepresentatedOrRepresentativesNames>עמוס רוזנצויג</RepresentatedOrRepresentativesNames>
        <RepresentatedOrRepresentativesCount>1</RepresentatedOrRepresentativesCount>
        <InvitedBy/>
        <CaseID>74767194</CaseID>
        <CaseJudicialPersonPresentationDS>
          <CaseJudicalPersonActive>
            <CaseID>74767194</CaseID>
            <JudicialPersonID>052286226@GOV.IL</JudicialPersonID>
            <JudicialPersonTypeID>1</JudicialPersonTypeID>
            <JudicialTypeID>1</JudicialTypeID>
            <IsChairman>false</IsChairman>
            <TreatmentStartDate>2017-09-10T16:04:34.377+03:00</TreatmentStartDate>
            <TreatmentFinishDate>9999-12-31T23:59:59.997+02:00</TreatmentFinishDate>
            <IdentificationCardNumber>052286226</IdentificationCardNumber>
            <DisplayName>יחזקאל קינר</DisplayName>
            <JudicialTypeName>שופט</JudicialTypeName>
            <CaseJudicialGroupNumber>0</CaseJudicialGroupNumber>
            <FirstName>יחזקאל</FirstName>
            <LastName>קינר</LastName>
            <JudicialPersonTitle>שופט</JudicialPersonTitle>
          </CaseJudicalPersonActive>
        </CaseJudicialPersonPresentationDS>
        <CasePartyID>175160830</CasePartyID>
        <PartyTypeID>1</PartyTypeID>
        <ActivityStatusID>1</ActivityStatusID>
        <PartyAliasID>2</PartyAliasID>
        <PartyAliasName>נתבע</PartyAliasName>
        <OrdinalNumber>2</OrdinalNumber>
        <LegalEntityID>21009998</LegalEntityID>
        <CaseLegalEntityID>100168557</CaseLegalEntityID>
        <AuthenticationTypeID>13</AuthenticationTypeID>
        <AuthenticationTypeName>משרדי ממשלה</AuthenticationTypeName>
        <LegalEntityNumber>570000760</LegalEntityNumber>
        <IsMainPartyType>true</IsMainPartyType>
        <CaseDisplayIdentifier>38746-08-17</CaseDisplayIdentifier>
        <CaseTypeID>10036</CaseTypeID>
        <CaseTypeName>תובענה ייצוגית (ת"צ)</CaseTypeName>
        <CaseName>אלמונית נ' המוסד לביטוח לאומי ואח'</CaseName>
        <FullAddress/>
        <MotionID>0</MotionID>
        <CasePleaID>0</CasePleaID>
        <LinkedCaseID>0</LinkedCaseID>
        <PartyID>2</PartyID>
        <CasePartyCategoryID>2</CasePartyCategoryID>
        <PleaTypeID>4</PleaTypeID>
        <GroupPartyAlias>נתבעים</GroupPartyAlias>
        <IsConverted>false</IsConverted>
        <LegalEntityRegisteredNameID>1793711</LegalEntityRegisteredNameID>
        <RepresentatedNamesOfAssistant/>
        <LegalEntityTypeID>3</LegalEntityTypeID>
        <IsVerdictExists>false</IsVerdictExists>
        <IsAsirAzir>false</IsAsirAzir>
        <IsPublicationProhibited>false</IsPublicationProhibited>
        <PublicationProhibitedFullName>ביטוח לאומי מחלקה משפטית</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היועץ המשפטי לממשלה</FullName>
        <LastName>היועץ המשפטי לממשלה</LastName>
        <PartyPropertyName/>
        <AuthenticationTypeAndNumber>משרדי ממשלה 513442037</AuthenticationTypeAndNumber>
        <RepresentatedOrRepresentativesNames>לילך דיין</RepresentatedOrRepresentativesNames>
        <RepresentatedOrRepresentativesCount>1</RepresentatedOrRepresentativesCount>
        <InvitedBy/>
        <CaseID>74767194</CaseID>
        <CaseJudicialPersonPresentationDS>
          <CaseJudicalPersonActive>
            <CaseID>74767194</CaseID>
            <JudicialPersonID>052286226@GOV.IL</JudicialPersonID>
            <JudicialPersonTypeID>1</JudicialPersonTypeID>
            <JudicialTypeID>1</JudicialTypeID>
            <IsChairman>false</IsChairman>
            <TreatmentStartDate>2017-09-10T16:04:34.377+03:00</TreatmentStartDate>
            <TreatmentFinishDate>9999-12-31T23:59:59.997+02:00</TreatmentFinishDate>
            <IdentificationCardNumber>052286226</IdentificationCardNumber>
            <DisplayName>יחזקאל קינר</DisplayName>
            <JudicialTypeName>שופט</JudicialTypeName>
            <CaseJudicialGroupNumber>0</CaseJudicialGroupNumber>
            <FirstName>יחזקאל</FirstName>
            <LastName>קינר</LastName>
            <JudicialPersonTitle>שופט</JudicialPersonTitle>
          </CaseJudicalPersonActive>
        </CaseJudicialPersonPresentationDS>
        <CasePartyID>211479384</CasePartyID>
        <PartyTypeID>1</PartyTypeID>
        <ActivityStatusID>1</ActivityStatusID>
        <PartyAliasID>2</PartyAliasID>
        <PartyAliasName>נתבע</PartyAliasName>
        <OrdinalNumber>3</OrdinalNumber>
        <LegalEntityID>7545341</LegalEntityID>
        <CaseLegalEntityID>110945002</CaseLegalEntityID>
        <AuthenticationTypeID>13</AuthenticationTypeID>
        <AuthenticationTypeName>משרדי ממשלה</AuthenticationTypeName>
        <LegalEntityNumber>513442037</LegalEntityNumber>
        <IsMainPartyType>true</IsMainPartyType>
        <CaseDisplayIdentifier>38746-08-17</CaseDisplayIdentifier>
        <CaseTypeID>10036</CaseTypeID>
        <CaseTypeName>תובענה ייצוגית (ת"צ)</CaseTypeName>
        <CaseName>אלמונית נ' המוסד לביטוח לאומי ואח'</CaseName>
        <FullAddress>ע"י פרקליטות המחוז ירושלים ..</FullAddress>
        <MotionID>0</MotionID>
        <CasePleaID>0</CasePleaID>
        <LinkedCaseID>0</LinkedCaseID>
        <PartyID>2</PartyID>
        <CasePartyCategoryID>2</CasePartyCategoryID>
        <LegalEntityAddressID>82082780</LegalEntityAddressID>
        <PleaTypeID>4</PleaTypeID>
        <GroupPartyAlias>נתבעים</GroupPartyAlias>
        <IsConverted>false</IsConverted>
        <LegalEntityRegisteredNameID>406586</LegalEntityRegisteredNameID>
        <LegalEntityNameID>76054935</LegalEntityNameID>
        <RepresentatedNamesOfAssistant/>
        <LegalEntityTypeID>3</LegalEntityTypeID>
        <IsVerdictExists>false</IsVerdictExists>
        <IsAsirAzir>false</IsAsirAzir>
        <IsPublicationProhibited>false</IsPublicationProhibited>
        <PublicationProhibitedFullName>היועץ המשפטי לממשלה</PublicationProhibitedFullName>
      </CaseParties>
    </CasePartiesSelectionDS>
    <CaseName>אלמונית נ' המוסד לביטוח לאומי ואח'</CaseName>
    <CaseDisplayIdentifier>38746-08-17</CaseDisplayIdentifier>
    <CaseInterestID>44</CaseInterestID>
    <CaseTypeShortName>ת"צ</CaseTypeShortName>
  </dt_DecisionCase>
  <dt_DecisionJudgePanel>
    <JudgeID>052286226@GOV.IL</JudgeID>
    <DisplayName>יחזקאל קינר</DisplayName>
    <RoleName>שופט</RoleName>
    <UserTitleName>שופט</UserTitleName>
  </dt_DecisionJudgePanel>
  <dt_LegalEntityDetails>
    <Fax>02-6709044</Fax>
    <PartyID>2</PartyID>
    <PartyTypeID>2</PartyTypeID>
    <DecisionID>0</DecisionID>
    <StreetName>שד' ויצמן 13 </StreetName>
    <CityName>ירושלים</CityName>
    <FullName>עמוס רוזנצויג</FullName>
    <IsPublicationProhibited>false</IsPublicationProhibited>
  </dt_LegalEntityDetails>
  <dt_LegalEntityDetails>
    <Fax>03-7778444</Fax>
    <Phone>03-7778403</Phone>
    <AddressDesc>מגדל המוזיאון קומה 8</AddressDesc>
    <PartyID>2</PartyID>
    <PartyTypeID>2</PartyTypeID>
    <DecisionID>0</DecisionID>
    <StreetName>ברקוביץ 4</StreetName>
    <ZipCode>64238</ZipCode>
    <CityName>תל אביב -יפו</CityName>
    <FullName>אמנון שבלת</FullName>
    <Email>manager@shibolet.com</Email>
    <IsPublicationProhibited>false</IsPublicationProhibited>
  </dt_LegalEntityDetails>
  <dt_LegalEntityDetails>
    <Fax>03-7778444</Fax>
    <Phone>03-7778403</Phone>
    <AddressDesc>מגדל המוזיאון קומה 8</AddressDesc>
    <PartyID>2</PartyID>
    <PartyTypeID>2</PartyTypeID>
    <DecisionID>0</DecisionID>
    <StreetName>ברקוביץ 4</StreetName>
    <ZipCode>64238</ZipCode>
    <CityName>תל אביב -יפו</CityName>
    <FullName>אמיר פרנקל</FullName>
    <Email>manager@shibolet.com</Email>
    <IsPublicationProhibited>false</IsPublicationProhibited>
  </dt_LegalEntityDetails>
  <dt_LegalEntityDetails>
    <AddressDesc/>
    <PartyID>1</PartyID>
    <PartyTypeID>3</PartyTypeID>
    <DecisionID>0</DecisionID>
    <AssistantRoleID>53</AssistantRoleID>
    <StreetName/>
    <CityName/>
    <IsPublicationProhibited>false</IsPublicationProhibited>
  </dt_LegalEntityDetails>
  <dt_LegalEntityDetails>
    <Fax>02-6468017</Fax>
    <Phone>073-3736370</Phone>
    <AddressDesc>בית קרדן</AddressDesc>
    <PartyID>2</PartyID>
    <PartyTypeID>2</PartyTypeID>
    <DecisionID>0</DecisionID>
    <StreetName>דרך מנחם בגין 154</StreetName>
    <CityName>תל אביב -יפו</CityName>
    <FullName>לילך דיין</FullName>
    <Email>mazkirut-merkaz-ezra@justice.gov.il</Email>
    <IsPublicationProhibited>false</IsPublicationProhibited>
  </dt_LegalEntityDetails>
  <dt_LegalEntityDetails>
    <PartyID>1</PartyID>
    <PartyTypeID>1</PartyTypeID>
    <DecisionID>0</DecisionID>
    <IsPublicationProhibited>false</IsPublicationProhibited>
  </dt_LegalEntityDetails>
  <dt_LegalEntityDetails>
    <Fax>08-9393101</Fax>
    <Phone>08-9393110</Phone>
    <AddressDesc>מרכז רורברג, אגף אינשטיין, קומה ה'</AddressDesc>
    <PartyID>1</PartyID>
    <PartyTypeID>2</PartyTypeID>
    <DecisionID>0</DecisionID>
    <StreetName>פקריס 3</StreetName>
    <ZipCode>76702</ZipCode>
    <CityName>רחובות</CityName>
    <FullName>דוד שוורצבאום</FullName>
    <Email>net@mt-law.co.il</Email>
    <IsPublicationProhibited>false</IsPublicationProhibited>
  </dt_LegalEntityDetails>
  <dt_LegalEntityDetails>
    <PartyID>2</PartyID>
    <PartyTypeID>1</PartyTypeID>
    <DecisionID>0</DecisionID>
    <StreetName>ויצמן 14</StreetName>
    <CityName>ירושלים</CityName>
    <FullName> המוסד לביטוח לאומי</FullName>
    <IsPublicationProhibited>false</IsPublicationProhibited>
  </dt_LegalEntityDetails>
  <dt_LegalEntityDetails>
    <PartyID>2</PartyID>
    <PartyTypeID>1</PartyTypeID>
    <DecisionID>0</DecisionID>
    <FullName> ביטוח לאומי מחלקה משפטית</FullName>
    <IsPublicationProhibited>false</IsPublicationProhibited>
  </dt_LegalEntityDetails>
  <dt_LegalEntityDetails>
    <Fax>03-5138222</Fax>
    <AddressDesc>..</AddressDesc>
    <PartyID>2</PartyID>
    <PartyTypeID>1</PartyTypeID>
    <DecisionID>0</DecisionID>
    <StreetName>ע"י פרקליטות המחוז</StreetName>
    <CityName>ירושלים</CityName>
    <FullName/>
    <IsPublicationProhibited>false</IsPublicationProhibited>
  </dt_LegalEntityDetails>
  <dt_CaseJudicalPersonActive>
    <CaseJudicalPerson>שופט יחזקאל קינר</CaseJudicalPerson>
  </dt_CaseJudicalPersonActive>
  <dt_Sitting>
    <PreviousMeetingDate>2018-02-26T08:30:00+02:00</PreviousMeetingDate>
    <PreviousSittingTypeID>1</PreviousSittingTypeID>
    <PreviousMeetingDisplayName>שופט יחזקאל קינר</PreviousMeetingDisplayName>
    <PreviousMeetingRoleName>שופט</PreviousMeetingRoleName>
    <PreviousMeetingUserTitleName>שופט</PreviousMeetingUserTitleName>
    <PreviousMeetingUserUPN>052286226@GOV.IL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01D39D-C8A4-4086-AECD-DA48D320526E}">
  <ds:schemaRefs/>
</ds:datastoreItem>
</file>

<file path=customXml/itemProps2.xml><?xml version="1.0" encoding="utf-8"?>
<ds:datastoreItem xmlns:ds="http://schemas.openxmlformats.org/officeDocument/2006/customXml" ds:itemID="{C5B6707F-78C4-4A91-8DB4-3807EA65A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8417</Words>
  <Characters>42088</Characters>
  <Application>Microsoft Office Word</Application>
  <DocSecurity>4</DocSecurity>
  <Lines>350</Lines>
  <Paragraphs>100</Paragraphs>
  <ScaleCrop>false</ScaleCrop>
  <Company>Microsoft Corporation</Company>
  <LinksUpToDate>false</LinksUpToDate>
  <CharactersWithSpaces>50405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dcterms:created xsi:type="dcterms:W3CDTF">2024-07-07T10:14:00Z</dcterms:created>
  <dcterms:modified xsi:type="dcterms:W3CDTF">2024-07-07T10:14:00Z</dcterms:modified>
</cp:coreProperties>
</file>